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GE Vernova (GEV) — Q2 2026 Earnings Preview</w:t>
      </w:r>
    </w:p>
    <w:p>
      <w:r>
        <w:rPr>
          <w:rFonts w:ascii="Calibri" w:hAnsi="Calibri"/>
          <w:b/>
          <w:color w:val="525866"/>
          <w:sz w:val="22"/>
        </w:rPr>
        <w:t xml:space="preserve">Earnings Date: </w:t>
      </w:r>
      <w:r>
        <w:rPr>
          <w:rFonts w:ascii="Calibri" w:hAnsi="Calibri"/>
          <w:color w:val="525866"/>
          <w:sz w:val="22"/>
        </w:rPr>
        <w:t xml:space="preserve">July 22, 2026 (Before Market Open)   </w:t>
      </w:r>
      <w:r>
        <w:rPr>
          <w:rFonts w:ascii="Calibri" w:hAnsi="Calibri"/>
          <w:b/>
          <w:color w:val="525866"/>
          <w:sz w:val="22"/>
        </w:rPr>
        <w:t xml:space="preserve">Prepared: </w:t>
      </w:r>
      <w:r>
        <w:rPr>
          <w:rFonts w:ascii="Calibri" w:hAnsi="Calibri"/>
          <w:color w:val="525866"/>
          <w:sz w:val="22"/>
        </w:rPr>
        <w:t xml:space="preserve">July 21, 2026   </w:t>
      </w:r>
      <w:r>
        <w:rPr>
          <w:rFonts w:ascii="Calibri" w:hAnsi="Calibri"/>
          <w:b/>
          <w:color w:val="525866"/>
          <w:sz w:val="22"/>
        </w:rPr>
        <w:t xml:space="preserve">Reporting Period: </w:t>
      </w:r>
      <w:r>
        <w:rPr>
          <w:rFonts w:ascii="Calibri" w:hAnsi="Calibri"/>
          <w:color w:val="525866"/>
          <w:sz w:val="22"/>
        </w:rPr>
        <w:t>Q2 2026 (quarter ended June 30, 2026)</w:t>
      </w:r>
    </w:p>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color w:val="525866"/>
          <w:sz w:val="22"/>
        </w:rPr>
        <w:t xml:space="preserve">The setup favors a beat — consensus is a manageable bar relative to GEV's accelerating order momentum and raised guidance, with </w:t>
      </w:r>
      <w:r>
        <w:rPr>
          <w:rFonts w:ascii="Calibri" w:hAnsi="Calibri"/>
          <w:b/>
          <w:color w:val="525866"/>
          <w:sz w:val="22"/>
        </w:rPr>
        <w:t>electrification order velocity and gas power backlog trajectory</w:t>
      </w:r>
      <w:r>
        <w:rPr>
          <w:rFonts w:ascii="Calibri" w:hAnsi="Calibri"/>
          <w:color w:val="525866"/>
          <w:sz w:val="22"/>
        </w:rPr>
        <w:t xml:space="preserve"> as the primary swing factors.</w:t>
      </w:r>
    </w:p>
    <w:p>
      <w:r>
        <w:rPr>
          <w:rFonts w:ascii="Calibri" w:hAnsi="Calibri"/>
          <w:color w:val="525866"/>
          <w:sz w:val="22"/>
        </w:rPr>
        <w:t xml:space="preserve">Heading into Q2 2026 earnings, GE Vernova's bar is elevated but achievable: consensus expects ~$10.8B in revenue (+18% YoY) and ~$1.28B in adjusted EBITDA, both consistent with the raised full-year guidance management issued after a blowout Q1. </w:t>
      </w:r>
      <w:r>
        <w:rPr>
          <w:rFonts w:ascii="Calibri" w:hAnsi="Calibri"/>
          <w:b/>
          <w:color w:val="525866"/>
          <w:sz w:val="22"/>
        </w:rPr>
        <w:t>Management's tone has shifted decisively more confident</w:t>
      </w:r>
      <w:r>
        <w:rPr>
          <w:rFonts w:ascii="Calibri" w:hAnsi="Calibri"/>
          <w:color w:val="525866"/>
          <w:sz w:val="22"/>
        </w:rPr>
        <w:t xml:space="preserve"> since the April 22 print — the company raised 2026 revenue guidance to $44.5–$45.5B, EBITDA margin to 12–14%, and free cash flow to $6.5–$7.5B, while pulling forward the $200B backlog target to 2027 from 2028. Estimate revisions have been modestly positive since Q1 earnings, with 2Q revenue consensus drifting up from ~$10.74B to ~$10.80B and EPS from ~$2.87 to ~$2.88–$2.94, suggesting the street is gradually catching up to guidance rather than running ahead of it — a cushion, not a risk. </w:t>
      </w:r>
      <w:r>
        <w:rPr>
          <w:rFonts w:ascii="Calibri" w:hAnsi="Calibri"/>
          <w:b/>
          <w:color w:val="525866"/>
          <w:sz w:val="22"/>
        </w:rPr>
        <w:t>The stock has underperformed XLI since Q1 earnings (down ~4% vs. XLI +4.5%)</w:t>
      </w:r>
      <w:r>
        <w:rPr>
          <w:rFonts w:ascii="Calibri" w:hAnsi="Calibri"/>
          <w:color w:val="525866"/>
          <w:sz w:val="22"/>
        </w:rPr>
        <w:t xml:space="preserve">, pulling back from a peak near $1,175 in late June to ~$1,079 today, which means the stock is not pricing in a blowout and leaves room for a positive reaction if electrification orders and gas power GW-under-contract updates impress. The single biggest wildcard is </w:t>
      </w:r>
      <w:r>
        <w:rPr>
          <w:rFonts w:ascii="Calibri" w:hAnsi="Calibri"/>
          <w:b/>
          <w:color w:val="525866"/>
          <w:sz w:val="22"/>
        </w:rPr>
        <w:t>whether electrification data-center order momentum sustained its Q1 pace</w:t>
      </w:r>
      <w:r>
        <w:rPr>
          <w:rFonts w:ascii="Calibri" w:hAnsi="Calibri"/>
          <w:color w:val="525866"/>
          <w:sz w:val="22"/>
        </w:rPr>
        <w:t xml:space="preserve"> (Q1 alone exceeded all of 2025) and whether management raises the 110 GW gas power target again — either would be a material positive catalyst.</w:t>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manageable but not low bar</w:t>
      </w:r>
      <w:r>
        <w:rPr>
          <w:rFonts w:ascii="Calibri" w:hAnsi="Calibri"/>
          <w:color w:val="525866"/>
          <w:sz w:val="22"/>
        </w:rPr>
        <w:t xml:space="preserve"> — revenue and EBITDA estimates are in line with guidance midpoints, while </w:t>
      </w:r>
      <w:r>
        <w:rPr>
          <w:rFonts w:ascii="Calibri" w:hAnsi="Calibri"/>
          <w:b/>
          <w:color w:val="525866"/>
          <w:sz w:val="22"/>
        </w:rPr>
        <w:t>orders and backlog are the bigger swing factors</w:t>
      </w:r>
      <w:r>
        <w:rPr>
          <w:rFonts w:ascii="Calibri" w:hAnsi="Calibri"/>
          <w:color w:val="525866"/>
          <w:sz w:val="22"/>
        </w:rPr>
        <w:t xml:space="preserve"> given GEV's history of dramatically exceeding order expectations.</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 ($B)</w:t>
            </w:r>
          </w:p>
        </w:tc>
        <w:tc>
          <w:tcPr>
            <w:tcW w:type="dxa" w:w="1234"/>
          </w:tcPr>
          <w:p>
            <w:r>
              <w:rPr>
                <w:rFonts w:ascii="Calibri" w:hAnsi="Calibri"/>
                <w:sz w:val="22"/>
              </w:rPr>
              <w:t>$9.34B</w:t>
            </w:r>
          </w:p>
        </w:tc>
        <w:tc>
          <w:tcPr>
            <w:tcW w:type="dxa" w:w="1234"/>
          </w:tcPr>
          <w:p>
            <w:r>
              <w:rPr>
                <w:rFonts w:ascii="Calibri" w:hAnsi="Calibri"/>
                <w:sz w:val="22"/>
              </w:rPr>
              <w:t>$9.11B</w:t>
            </w:r>
          </w:p>
        </w:tc>
        <w:tc>
          <w:tcPr>
            <w:tcW w:type="dxa" w:w="1234"/>
          </w:tcPr>
          <w:p>
            <w:r>
              <w:rPr>
                <w:rFonts w:ascii="Calibri" w:hAnsi="Calibri"/>
                <w:sz w:val="22"/>
              </w:rPr>
              <w:t>$10.80B</w:t>
            </w:r>
          </w:p>
        </w:tc>
        <w:tc>
          <w:tcPr>
            <w:tcW w:type="dxa" w:w="1234"/>
          </w:tcPr>
          <w:p>
            <w:r>
              <w:rPr>
                <w:rFonts w:ascii="Calibri" w:hAnsi="Calibri"/>
                <w:sz w:val="22"/>
              </w:rPr>
              <w:t>+18.5%</w:t>
            </w:r>
          </w:p>
        </w:tc>
        <w:tc>
          <w:tcPr>
            <w:tcW w:type="dxa" w:w="1234"/>
          </w:tcPr>
          <w:p>
            <w:r>
              <w:rPr>
                <w:rFonts w:ascii="Calibri" w:hAnsi="Calibri"/>
                <w:sz w:val="22"/>
              </w:rPr>
              <w:t>$44.5–$45.5B (FY)</w:t>
            </w:r>
          </w:p>
        </w:tc>
        <w:tc>
          <w:tcPr>
            <w:tcW w:type="dxa" w:w="1234"/>
          </w:tcPr>
          <w:p>
            <w:r>
              <w:rPr>
                <w:rFonts w:ascii="Calibri" w:hAnsi="Calibri"/>
                <w:sz w:val="22"/>
              </w:rPr>
              <w:t>In line with FY run-rate</w:t>
            </w:r>
          </w:p>
        </w:tc>
      </w:tr>
      <w:tr>
        <w:tc>
          <w:tcPr>
            <w:tcW w:type="dxa" w:w="1234"/>
          </w:tcPr>
          <w:p>
            <w:r>
              <w:rPr>
                <w:rFonts w:ascii="Calibri" w:hAnsi="Calibri"/>
                <w:sz w:val="22"/>
              </w:rPr>
              <w:t>Revenue — Power ($B)</w:t>
            </w:r>
          </w:p>
        </w:tc>
        <w:tc>
          <w:tcPr>
            <w:tcW w:type="dxa" w:w="1234"/>
          </w:tcPr>
          <w:p>
            <w:r>
              <w:rPr>
                <w:rFonts w:ascii="Calibri" w:hAnsi="Calibri"/>
                <w:sz w:val="22"/>
              </w:rPr>
              <w:t>$4.97B</w:t>
            </w:r>
          </w:p>
        </w:tc>
        <w:tc>
          <w:tcPr>
            <w:tcW w:type="dxa" w:w="1234"/>
          </w:tcPr>
          <w:p>
            <w:r>
              <w:rPr>
                <w:rFonts w:ascii="Calibri" w:hAnsi="Calibri"/>
                <w:sz w:val="22"/>
              </w:rPr>
              <w:t>$4.78B</w:t>
            </w:r>
          </w:p>
        </w:tc>
        <w:tc>
          <w:tcPr>
            <w:tcW w:type="dxa" w:w="1234"/>
          </w:tcPr>
          <w:p>
            <w:r>
              <w:rPr>
                <w:rFonts w:ascii="Calibri" w:hAnsi="Calibri"/>
                <w:sz w:val="22"/>
              </w:rPr>
              <w:t>$5.59B</w:t>
            </w:r>
          </w:p>
        </w:tc>
        <w:tc>
          <w:tcPr>
            <w:tcW w:type="dxa" w:w="1234"/>
          </w:tcPr>
          <w:p>
            <w:r>
              <w:rPr>
                <w:rFonts w:ascii="Calibri" w:hAnsi="Calibri"/>
                <w:sz w:val="22"/>
              </w:rPr>
              <w:t>+16.9%</w:t>
            </w:r>
          </w:p>
        </w:tc>
        <w:tc>
          <w:tcPr>
            <w:tcW w:type="dxa" w:w="1234"/>
          </w:tcPr>
          <w:p>
            <w:r>
              <w:rPr>
                <w:rFonts w:ascii="Calibri" w:hAnsi="Calibri"/>
                <w:sz w:val="22"/>
              </w:rPr>
              <w:t>+16%–18% organic (FY)</w:t>
            </w:r>
          </w:p>
        </w:tc>
        <w:tc>
          <w:tcPr>
            <w:tcW w:type="dxa" w:w="1234"/>
          </w:tcPr>
          <w:p>
            <w:r>
              <w:rPr>
                <w:rFonts w:ascii="Calibri" w:hAnsi="Calibri"/>
                <w:sz w:val="22"/>
              </w:rPr>
              <w:t>In line with guidance midpoint</w:t>
            </w:r>
          </w:p>
        </w:tc>
      </w:tr>
      <w:tr>
        <w:tc>
          <w:tcPr>
            <w:tcW w:type="dxa" w:w="1234"/>
          </w:tcPr>
          <w:p>
            <w:r>
              <w:rPr>
                <w:rFonts w:ascii="Calibri" w:hAnsi="Calibri"/>
                <w:sz w:val="22"/>
              </w:rPr>
              <w:t>Revenue — Electrification ($B)</w:t>
            </w:r>
          </w:p>
        </w:tc>
        <w:tc>
          <w:tcPr>
            <w:tcW w:type="dxa" w:w="1234"/>
          </w:tcPr>
          <w:p>
            <w:r>
              <w:rPr>
                <w:rFonts w:ascii="Calibri" w:hAnsi="Calibri"/>
                <w:sz w:val="22"/>
              </w:rPr>
              <w:t>$2.96B</w:t>
            </w:r>
          </w:p>
        </w:tc>
        <w:tc>
          <w:tcPr>
            <w:tcW w:type="dxa" w:w="1234"/>
          </w:tcPr>
          <w:p>
            <w:r>
              <w:rPr>
                <w:rFonts w:ascii="Calibri" w:hAnsi="Calibri"/>
                <w:sz w:val="22"/>
              </w:rPr>
              <w:t>$2.16B</w:t>
            </w:r>
          </w:p>
        </w:tc>
        <w:tc>
          <w:tcPr>
            <w:tcW w:type="dxa" w:w="1234"/>
          </w:tcPr>
          <w:p>
            <w:r>
              <w:rPr>
                <w:rFonts w:ascii="Calibri" w:hAnsi="Calibri"/>
                <w:sz w:val="22"/>
              </w:rPr>
              <w:t>$3.45B</w:t>
            </w:r>
          </w:p>
        </w:tc>
        <w:tc>
          <w:tcPr>
            <w:tcW w:type="dxa" w:w="1234"/>
          </w:tcPr>
          <w:p>
            <w:r>
              <w:rPr>
                <w:rFonts w:ascii="Calibri" w:hAnsi="Calibri"/>
                <w:sz w:val="22"/>
              </w:rPr>
              <w:t>+59.6%</w:t>
            </w:r>
          </w:p>
        </w:tc>
        <w:tc>
          <w:tcPr>
            <w:tcW w:type="dxa" w:w="1234"/>
          </w:tcPr>
          <w:p>
            <w:r>
              <w:rPr>
                <w:rFonts w:ascii="Calibri" w:hAnsi="Calibri"/>
                <w:sz w:val="22"/>
              </w:rPr>
              <w:t>$14.0–$14.5B (FY)</w:t>
            </w:r>
          </w:p>
        </w:tc>
        <w:tc>
          <w:tcPr>
            <w:tcW w:type="dxa" w:w="1234"/>
          </w:tcPr>
          <w:p>
            <w:r>
              <w:rPr>
                <w:rFonts w:ascii="Calibri" w:hAnsi="Calibri"/>
                <w:sz w:val="22"/>
              </w:rPr>
              <w:t>In line with guidance midpoint</w:t>
            </w:r>
          </w:p>
        </w:tc>
      </w:tr>
      <w:tr>
        <w:tc>
          <w:tcPr>
            <w:tcW w:type="dxa" w:w="1234"/>
          </w:tcPr>
          <w:p>
            <w:r>
              <w:rPr>
                <w:rFonts w:ascii="Calibri" w:hAnsi="Calibri"/>
                <w:sz w:val="22"/>
              </w:rPr>
              <w:t>Adj. EBITDA — Operating ($B)</w:t>
            </w:r>
          </w:p>
        </w:tc>
        <w:tc>
          <w:tcPr>
            <w:tcW w:type="dxa" w:w="1234"/>
          </w:tcPr>
          <w:p>
            <w:r>
              <w:rPr>
                <w:rFonts w:ascii="Calibri" w:hAnsi="Calibri"/>
                <w:sz w:val="22"/>
              </w:rPr>
              <w:t>$0.896B</w:t>
            </w:r>
          </w:p>
        </w:tc>
        <w:tc>
          <w:tcPr>
            <w:tcW w:type="dxa" w:w="1234"/>
          </w:tcPr>
          <w:p>
            <w:r>
              <w:rPr>
                <w:rFonts w:ascii="Calibri" w:hAnsi="Calibri"/>
                <w:sz w:val="22"/>
              </w:rPr>
              <w:t>$0.770B</w:t>
            </w:r>
          </w:p>
        </w:tc>
        <w:tc>
          <w:tcPr>
            <w:tcW w:type="dxa" w:w="1234"/>
          </w:tcPr>
          <w:p>
            <w:r>
              <w:rPr>
                <w:rFonts w:ascii="Calibri" w:hAnsi="Calibri"/>
                <w:sz w:val="22"/>
              </w:rPr>
              <w:t>$1.278B</w:t>
            </w:r>
          </w:p>
        </w:tc>
        <w:tc>
          <w:tcPr>
            <w:tcW w:type="dxa" w:w="1234"/>
          </w:tcPr>
          <w:p>
            <w:r>
              <w:rPr>
                <w:rFonts w:ascii="Calibri" w:hAnsi="Calibri"/>
                <w:sz w:val="22"/>
              </w:rPr>
              <w:t>+65.9%</w:t>
            </w:r>
          </w:p>
        </w:tc>
        <w:tc>
          <w:tcPr>
            <w:tcW w:type="dxa" w:w="1234"/>
          </w:tcPr>
          <w:p>
            <w:r>
              <w:rPr>
                <w:rFonts w:ascii="Calibri" w:hAnsi="Calibri"/>
                <w:sz w:val="22"/>
              </w:rPr>
              <w:t>12%–14% margin (FY)</w:t>
            </w:r>
          </w:p>
        </w:tc>
        <w:tc>
          <w:tcPr>
            <w:tcW w:type="dxa" w:w="1234"/>
          </w:tcPr>
          <w:p>
            <w:r>
              <w:rPr>
                <w:rFonts w:ascii="Calibri" w:hAnsi="Calibri"/>
                <w:sz w:val="22"/>
              </w:rPr>
              <w:t>~11.8% margin; in line</w:t>
            </w:r>
          </w:p>
        </w:tc>
      </w:tr>
      <w:tr>
        <w:tc>
          <w:tcPr>
            <w:tcW w:type="dxa" w:w="1234"/>
          </w:tcPr>
          <w:p>
            <w:r>
              <w:rPr>
                <w:rFonts w:ascii="Calibri" w:hAnsi="Calibri"/>
                <w:sz w:val="22"/>
              </w:rPr>
              <w:t>EPS — Diluted Operating ($)</w:t>
            </w:r>
          </w:p>
        </w:tc>
        <w:tc>
          <w:tcPr>
            <w:tcW w:type="dxa" w:w="1234"/>
          </w:tcPr>
          <w:p>
            <w:r>
              <w:rPr>
                <w:rFonts w:ascii="Calibri" w:hAnsi="Calibri"/>
                <w:sz w:val="22"/>
              </w:rPr>
              <w:t>$0.86</w:t>
            </w:r>
          </w:p>
        </w:tc>
        <w:tc>
          <w:tcPr>
            <w:tcW w:type="dxa" w:w="1234"/>
          </w:tcPr>
          <w:p>
            <w:r>
              <w:rPr>
                <w:rFonts w:ascii="Calibri" w:hAnsi="Calibri"/>
                <w:sz w:val="22"/>
              </w:rPr>
              <w:t>$1.74</w:t>
            </w:r>
          </w:p>
        </w:tc>
        <w:tc>
          <w:tcPr>
            <w:tcW w:type="dxa" w:w="1234"/>
          </w:tcPr>
          <w:p>
            <w:r>
              <w:rPr>
                <w:rFonts w:ascii="Calibri" w:hAnsi="Calibri"/>
                <w:sz w:val="22"/>
              </w:rPr>
              <w:t>$2.88</w:t>
            </w:r>
          </w:p>
        </w:tc>
        <w:tc>
          <w:tcPr>
            <w:tcW w:type="dxa" w:w="1234"/>
          </w:tcPr>
          <w:p>
            <w:r>
              <w:rPr>
                <w:rFonts w:ascii="Calibri" w:hAnsi="Calibri"/>
                <w:sz w:val="22"/>
              </w:rPr>
              <w:t>+65.5%</w:t>
            </w:r>
          </w:p>
        </w:tc>
        <w:tc>
          <w:tcPr>
            <w:tcW w:type="dxa" w:w="1234"/>
          </w:tcPr>
          <w:p>
            <w:r>
              <w:rPr>
                <w:rFonts w:ascii="Calibri" w:hAnsi="Calibri"/>
                <w:sz w:val="22"/>
              </w:rPr>
              <w:t>N/A (no quarterly EPS guide)</w:t>
            </w:r>
          </w:p>
        </w:tc>
        <w:tc>
          <w:tcPr>
            <w:tcW w:type="dxa" w:w="1234"/>
          </w:tcPr>
          <w:p>
            <w:r>
              <w:rPr>
                <w:rFonts w:ascii="Calibri" w:hAnsi="Calibri"/>
                <w:sz w:val="22"/>
              </w:rPr>
              <w:t>N/A</w:t>
            </w:r>
          </w:p>
        </w:tc>
      </w:tr>
      <w:tr>
        <w:tc>
          <w:tcPr>
            <w:tcW w:type="dxa" w:w="1234"/>
          </w:tcPr>
          <w:p>
            <w:r>
              <w:rPr>
                <w:rFonts w:ascii="Calibri" w:hAnsi="Calibri"/>
                <w:sz w:val="22"/>
              </w:rPr>
              <w:t>Free Cash Flow ($B)</w:t>
            </w:r>
          </w:p>
        </w:tc>
        <w:tc>
          <w:tcPr>
            <w:tcW w:type="dxa" w:w="1234"/>
          </w:tcPr>
          <w:p>
            <w:r>
              <w:rPr>
                <w:rFonts w:ascii="Calibri" w:hAnsi="Calibri"/>
                <w:sz w:val="22"/>
              </w:rPr>
              <w:t>$4.791B</w:t>
            </w:r>
          </w:p>
        </w:tc>
        <w:tc>
          <w:tcPr>
            <w:tcW w:type="dxa" w:w="1234"/>
          </w:tcPr>
          <w:p>
            <w:r>
              <w:rPr>
                <w:rFonts w:ascii="Calibri" w:hAnsi="Calibri"/>
                <w:sz w:val="22"/>
              </w:rPr>
              <w:t>$0.194B</w:t>
            </w:r>
          </w:p>
        </w:tc>
        <w:tc>
          <w:tcPr>
            <w:tcW w:type="dxa" w:w="1234"/>
          </w:tcPr>
          <w:p>
            <w:r>
              <w:rPr>
                <w:rFonts w:ascii="Calibri" w:hAnsi="Calibri"/>
                <w:sz w:val="22"/>
              </w:rPr>
              <w:t>$0.807B</w:t>
            </w:r>
          </w:p>
        </w:tc>
        <w:tc>
          <w:tcPr>
            <w:tcW w:type="dxa" w:w="1234"/>
          </w:tcPr>
          <w:p>
            <w:r>
              <w:rPr>
                <w:rFonts w:ascii="Calibri" w:hAnsi="Calibri"/>
                <w:sz w:val="22"/>
              </w:rPr>
              <w:t>N/M (Q1 was anomalous)</w:t>
            </w:r>
          </w:p>
        </w:tc>
        <w:tc>
          <w:tcPr>
            <w:tcW w:type="dxa" w:w="1234"/>
          </w:tcPr>
          <w:p>
            <w:r>
              <w:rPr>
                <w:rFonts w:ascii="Calibri" w:hAnsi="Calibri"/>
                <w:sz w:val="22"/>
              </w:rPr>
              <w:t>$6.5–$7.5B (FY)</w:t>
            </w:r>
          </w:p>
        </w:tc>
        <w:tc>
          <w:tcPr>
            <w:tcW w:type="dxa" w:w="1234"/>
          </w:tcPr>
          <w:p>
            <w:r>
              <w:rPr>
                <w:rFonts w:ascii="Calibri" w:hAnsi="Calibri"/>
                <w:sz w:val="22"/>
              </w:rPr>
              <w:t>FY consensus $6.91B; in line</w:t>
            </w:r>
          </w:p>
        </w:tc>
      </w:tr>
      <w:tr>
        <w:tc>
          <w:tcPr>
            <w:tcW w:type="dxa" w:w="1234"/>
          </w:tcPr>
          <w:p>
            <w:r>
              <w:rPr>
                <w:rFonts w:ascii="Calibri" w:hAnsi="Calibri"/>
                <w:sz w:val="22"/>
              </w:rPr>
              <w:t>Orders ($B)</w:t>
            </w:r>
          </w:p>
        </w:tc>
        <w:tc>
          <w:tcPr>
            <w:tcW w:type="dxa" w:w="1234"/>
          </w:tcPr>
          <w:p>
            <w:r>
              <w:rPr>
                <w:rFonts w:ascii="Calibri" w:hAnsi="Calibri"/>
                <w:sz w:val="22"/>
              </w:rPr>
              <w:t>$18.28B</w:t>
            </w:r>
          </w:p>
        </w:tc>
        <w:tc>
          <w:tcPr>
            <w:tcW w:type="dxa" w:w="1234"/>
          </w:tcPr>
          <w:p>
            <w:r>
              <w:rPr>
                <w:rFonts w:ascii="Calibri" w:hAnsi="Calibri"/>
                <w:sz w:val="22"/>
              </w:rPr>
              <w:t>$12.36B</w:t>
            </w:r>
          </w:p>
        </w:tc>
        <w:tc>
          <w:tcPr>
            <w:tcW w:type="dxa" w:w="1234"/>
          </w:tcPr>
          <w:p>
            <w:r>
              <w:rPr>
                <w:rFonts w:ascii="Calibri" w:hAnsi="Calibri"/>
                <w:sz w:val="22"/>
              </w:rPr>
              <w:t>$19.90B</w:t>
            </w:r>
          </w:p>
        </w:tc>
        <w:tc>
          <w:tcPr>
            <w:tcW w:type="dxa" w:w="1234"/>
          </w:tcPr>
          <w:p>
            <w:r>
              <w:rPr>
                <w:rFonts w:ascii="Calibri" w:hAnsi="Calibri"/>
                <w:sz w:val="22"/>
              </w:rPr>
              <w:t>+60.9%</w:t>
            </w:r>
          </w:p>
        </w:tc>
        <w:tc>
          <w:tcPr>
            <w:tcW w:type="dxa" w:w="1234"/>
          </w:tcPr>
          <w:p>
            <w:r>
              <w:rPr>
                <w:rFonts w:ascii="Calibri" w:hAnsi="Calibri"/>
                <w:sz w:val="22"/>
              </w:rPr>
              <w:t>N/A (no quarterly guide)</w:t>
            </w:r>
          </w:p>
        </w:tc>
        <w:tc>
          <w:tcPr>
            <w:tcW w:type="dxa" w:w="1234"/>
          </w:tcPr>
          <w:p>
            <w:r>
              <w:rPr>
                <w:rFonts w:ascii="Calibri" w:hAnsi="Calibri"/>
                <w:sz w:val="22"/>
              </w:rPr>
              <w:t>FY consensus $83.98B</w:t>
            </w:r>
          </w:p>
        </w:tc>
      </w:tr>
      <w:tr>
        <w:tc>
          <w:tcPr>
            <w:tcW w:type="dxa" w:w="1234"/>
          </w:tcPr>
          <w:p>
            <w:r>
              <w:rPr>
                <w:rFonts w:ascii="Calibri" w:hAnsi="Calibri"/>
                <w:sz w:val="22"/>
              </w:rPr>
              <w:t>Backlog ($B)</w:t>
            </w:r>
          </w:p>
        </w:tc>
        <w:tc>
          <w:tcPr>
            <w:tcW w:type="dxa" w:w="1234"/>
          </w:tcPr>
          <w:p>
            <w:r>
              <w:rPr>
                <w:rFonts w:ascii="Calibri" w:hAnsi="Calibri"/>
                <w:sz w:val="22"/>
              </w:rPr>
              <w:t>$163.3B</w:t>
            </w:r>
          </w:p>
        </w:tc>
        <w:tc>
          <w:tcPr>
            <w:tcW w:type="dxa" w:w="1234"/>
          </w:tcPr>
          <w:p>
            <w:r>
              <w:rPr>
                <w:rFonts w:ascii="Calibri" w:hAnsi="Calibri"/>
                <w:sz w:val="22"/>
              </w:rPr>
              <w:t>$128.8B</w:t>
            </w:r>
          </w:p>
        </w:tc>
        <w:tc>
          <w:tcPr>
            <w:tcW w:type="dxa" w:w="1234"/>
          </w:tcPr>
          <w:p>
            <w:r>
              <w:rPr>
                <w:rFonts w:ascii="Calibri" w:hAnsi="Calibri"/>
                <w:sz w:val="22"/>
              </w:rPr>
              <w:t>$172.6B</w:t>
            </w:r>
          </w:p>
        </w:tc>
        <w:tc>
          <w:tcPr>
            <w:tcW w:type="dxa" w:w="1234"/>
          </w:tcPr>
          <w:p>
            <w:r>
              <w:rPr>
                <w:rFonts w:ascii="Calibri" w:hAnsi="Calibri"/>
                <w:sz w:val="22"/>
              </w:rPr>
              <w:t>+34.0%</w:t>
            </w:r>
          </w:p>
        </w:tc>
        <w:tc>
          <w:tcPr>
            <w:tcW w:type="dxa" w:w="1234"/>
          </w:tcPr>
          <w:p>
            <w:r>
              <w:rPr>
                <w:rFonts w:ascii="Calibri" w:hAnsi="Calibri"/>
                <w:sz w:val="22"/>
              </w:rPr>
              <w:t>$200B target by 2027</w:t>
            </w:r>
          </w:p>
        </w:tc>
        <w:tc>
          <w:tcPr>
            <w:tcW w:type="dxa" w:w="1234"/>
          </w:tcPr>
          <w:p>
            <w:r>
              <w:rPr>
                <w:rFonts w:ascii="Calibri" w:hAnsi="Calibri"/>
                <w:sz w:val="22"/>
              </w:rPr>
              <w:t>FY consensus $187.0B; on track</w:t>
            </w:r>
          </w:p>
        </w:tc>
      </w:tr>
      <w:tr>
        <w:tc>
          <w:tcPr>
            <w:tcW w:type="dxa" w:w="1234"/>
          </w:tcPr>
          <w:p>
            <w:r>
              <w:rPr>
                <w:rFonts w:ascii="Calibri" w:hAnsi="Calibri"/>
                <w:sz w:val="22"/>
              </w:rPr>
              <w:t>Backlog — Electrification ($B)</w:t>
            </w:r>
          </w:p>
        </w:tc>
        <w:tc>
          <w:tcPr>
            <w:tcW w:type="dxa" w:w="1234"/>
          </w:tcPr>
          <w:p>
            <w:r>
              <w:rPr>
                <w:rFonts w:ascii="Calibri" w:hAnsi="Calibri"/>
                <w:sz w:val="22"/>
              </w:rPr>
              <w:t>$42.44B</w:t>
            </w:r>
          </w:p>
        </w:tc>
        <w:tc>
          <w:tcPr>
            <w:tcW w:type="dxa" w:w="1234"/>
          </w:tcPr>
          <w:p>
            <w:r>
              <w:rPr>
                <w:rFonts w:ascii="Calibri" w:hAnsi="Calibri"/>
                <w:sz w:val="22"/>
              </w:rPr>
              <w:t>$27.12B</w:t>
            </w:r>
          </w:p>
        </w:tc>
        <w:tc>
          <w:tcPr>
            <w:tcW w:type="dxa" w:w="1234"/>
          </w:tcPr>
          <w:p>
            <w:r>
              <w:rPr>
                <w:rFonts w:ascii="Calibri" w:hAnsi="Calibri"/>
                <w:sz w:val="22"/>
              </w:rPr>
              <w:t>$45.91B</w:t>
            </w:r>
          </w:p>
        </w:tc>
        <w:tc>
          <w:tcPr>
            <w:tcW w:type="dxa" w:w="1234"/>
          </w:tcPr>
          <w:p>
            <w:r>
              <w:rPr>
                <w:rFonts w:ascii="Calibri" w:hAnsi="Calibri"/>
                <w:sz w:val="22"/>
              </w:rPr>
              <w:t>+69.3%</w:t>
            </w:r>
          </w:p>
        </w:tc>
        <w:tc>
          <w:tcPr>
            <w:tcW w:type="dxa" w:w="1234"/>
          </w:tcPr>
          <w:p>
            <w:r>
              <w:rPr>
                <w:rFonts w:ascii="Calibri" w:hAnsi="Calibri"/>
                <w:sz w:val="22"/>
              </w:rPr>
              <w:t>$60B target by 2027</w:t>
            </w:r>
          </w:p>
        </w:tc>
        <w:tc>
          <w:tcPr>
            <w:tcW w:type="dxa" w:w="1234"/>
          </w:tcPr>
          <w:p>
            <w:r>
              <w:rPr>
                <w:rFonts w:ascii="Calibri" w:hAnsi="Calibri"/>
                <w:sz w:val="22"/>
              </w:rPr>
              <w:t>FY consensus $48.5B; on track</w:t>
            </w:r>
          </w:p>
        </w:tc>
      </w:tr>
    </w:tbl>
    <w:p>
      <w:r>
        <w:rPr>
          <w:rFonts w:ascii="Calibri" w:hAnsi="Calibri"/>
          <w:i/>
          <w:color w:val="525866"/>
          <w:sz w:val="22"/>
        </w:rPr>
        <w:t>Sources: Visible Alpha Consensus and Actuals Data. All consensus figures as of July 21, 2026.</w:t>
      </w:r>
    </w:p>
    <w:p>
      <w:pPr>
        <w:pStyle w:val="Heading3"/>
      </w:pPr>
      <w:r>
        <w:rPr>
          <w:rFonts w:ascii="Calibri" w:hAnsi="Calibri"/>
          <w:b/>
          <w:color w:val="3B4259"/>
          <w:sz w:val="24"/>
        </w:rPr>
        <w:t>Table 2 — Beat/Miss History (Last 8 Quarters — Top 2 KPIs: Revenue &amp; Adj. EBITDA)</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$9.34B</w:t>
            </w:r>
          </w:p>
        </w:tc>
        <w:tc>
          <w:tcPr>
            <w:tcW w:type="dxa" w:w="1440"/>
          </w:tcPr>
          <w:p>
            <w:r>
              <w:rPr>
                <w:rFonts w:ascii="Calibri" w:hAnsi="Calibri"/>
                <w:sz w:val="22"/>
              </w:rPr>
              <w:t>$9.26B</w:t>
            </w:r>
          </w:p>
        </w:tc>
        <w:tc>
          <w:tcPr>
            <w:tcW w:type="dxa" w:w="1440"/>
          </w:tcPr>
          <w:p>
            <w:r>
              <w:rPr>
                <w:rFonts w:ascii="Calibri" w:hAnsi="Calibri"/>
                <w:b/>
                <w:color w:val="30A46C"/>
                <w:sz w:val="22"/>
              </w:rPr>
              <w:t>+0.8%</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Adj. EBITDA</w:t>
            </w:r>
          </w:p>
        </w:tc>
        <w:tc>
          <w:tcPr>
            <w:tcW w:type="dxa" w:w="1440"/>
          </w:tcPr>
          <w:p>
            <w:r>
              <w:rPr>
                <w:rFonts w:ascii="Calibri" w:hAnsi="Calibri"/>
                <w:sz w:val="22"/>
              </w:rPr>
              <w:t>$0.896B</w:t>
            </w:r>
          </w:p>
        </w:tc>
        <w:tc>
          <w:tcPr>
            <w:tcW w:type="dxa" w:w="1440"/>
          </w:tcPr>
          <w:p>
            <w:r>
              <w:rPr>
                <w:rFonts w:ascii="Calibri" w:hAnsi="Calibri"/>
                <w:sz w:val="22"/>
              </w:rPr>
              <w:t>$0.773B</w:t>
            </w:r>
          </w:p>
        </w:tc>
        <w:tc>
          <w:tcPr>
            <w:tcW w:type="dxa" w:w="1440"/>
          </w:tcPr>
          <w:p>
            <w:r>
              <w:rPr>
                <w:rFonts w:ascii="Calibri" w:hAnsi="Calibri"/>
                <w:b/>
                <w:color w:val="30A46C"/>
                <w:sz w:val="22"/>
              </w:rPr>
              <w:t>+15.9%</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$10.96B</w:t>
            </w:r>
          </w:p>
        </w:tc>
        <w:tc>
          <w:tcPr>
            <w:tcW w:type="dxa" w:w="1440"/>
          </w:tcPr>
          <w:p>
            <w:r>
              <w:rPr>
                <w:rFonts w:ascii="Calibri" w:hAnsi="Calibri"/>
                <w:sz w:val="22"/>
              </w:rPr>
              <w:t>$10.29B</w:t>
            </w:r>
          </w:p>
        </w:tc>
        <w:tc>
          <w:tcPr>
            <w:tcW w:type="dxa" w:w="1440"/>
          </w:tcPr>
          <w:p>
            <w:r>
              <w:rPr>
                <w:rFonts w:ascii="Calibri" w:hAnsi="Calibri"/>
                <w:b/>
                <w:color w:val="30A46C"/>
                <w:sz w:val="22"/>
              </w:rPr>
              <w:t>+6.5%</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EBITDA</w:t>
            </w:r>
          </w:p>
        </w:tc>
        <w:tc>
          <w:tcPr>
            <w:tcW w:type="dxa" w:w="1440"/>
          </w:tcPr>
          <w:p>
            <w:r>
              <w:rPr>
                <w:rFonts w:ascii="Calibri" w:hAnsi="Calibri"/>
                <w:sz w:val="22"/>
              </w:rPr>
              <w:t>$1.159B</w:t>
            </w:r>
          </w:p>
        </w:tc>
        <w:tc>
          <w:tcPr>
            <w:tcW w:type="dxa" w:w="1440"/>
          </w:tcPr>
          <w:p>
            <w:r>
              <w:rPr>
                <w:rFonts w:ascii="Calibri" w:hAnsi="Calibri"/>
                <w:sz w:val="22"/>
              </w:rPr>
              <w:t>$1.274B</w:t>
            </w:r>
          </w:p>
        </w:tc>
        <w:tc>
          <w:tcPr>
            <w:tcW w:type="dxa" w:w="1440"/>
          </w:tcPr>
          <w:p>
            <w:r>
              <w:rPr>
                <w:rFonts w:ascii="Calibri" w:hAnsi="Calibri"/>
                <w:b/>
                <w:color w:val="E5484D"/>
                <w:sz w:val="22"/>
              </w:rPr>
              <w:t>-9.0%</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$9.97B</w:t>
            </w:r>
          </w:p>
        </w:tc>
        <w:tc>
          <w:tcPr>
            <w:tcW w:type="dxa" w:w="1440"/>
          </w:tcPr>
          <w:p>
            <w:r>
              <w:rPr>
                <w:rFonts w:ascii="Calibri" w:hAnsi="Calibri"/>
                <w:sz w:val="22"/>
              </w:rPr>
              <w:t>$9.15B</w:t>
            </w:r>
          </w:p>
        </w:tc>
        <w:tc>
          <w:tcPr>
            <w:tcW w:type="dxa" w:w="1440"/>
          </w:tcPr>
          <w:p>
            <w:r>
              <w:rPr>
                <w:rFonts w:ascii="Calibri" w:hAnsi="Calibri"/>
                <w:b/>
                <w:color w:val="30A46C"/>
                <w:sz w:val="22"/>
              </w:rPr>
              <w:t>+8.9%</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EBITDA</w:t>
            </w:r>
          </w:p>
        </w:tc>
        <w:tc>
          <w:tcPr>
            <w:tcW w:type="dxa" w:w="1440"/>
          </w:tcPr>
          <w:p>
            <w:r>
              <w:rPr>
                <w:rFonts w:ascii="Calibri" w:hAnsi="Calibri"/>
                <w:sz w:val="22"/>
              </w:rPr>
              <w:t>$0.812B</w:t>
            </w:r>
          </w:p>
        </w:tc>
        <w:tc>
          <w:tcPr>
            <w:tcW w:type="dxa" w:w="1440"/>
          </w:tcPr>
          <w:p>
            <w:r>
              <w:rPr>
                <w:rFonts w:ascii="Calibri" w:hAnsi="Calibri"/>
                <w:sz w:val="22"/>
              </w:rPr>
              <w:t>$0.795B</w:t>
            </w:r>
          </w:p>
        </w:tc>
        <w:tc>
          <w:tcPr>
            <w:tcW w:type="dxa" w:w="1440"/>
          </w:tcPr>
          <w:p>
            <w:r>
              <w:rPr>
                <w:rFonts w:ascii="Calibri" w:hAnsi="Calibri"/>
                <w:b/>
                <w:color w:val="30A46C"/>
                <w:sz w:val="22"/>
              </w:rPr>
              <w:t>+2.1%</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$9.11B</w:t>
            </w:r>
          </w:p>
        </w:tc>
        <w:tc>
          <w:tcPr>
            <w:tcW w:type="dxa" w:w="1440"/>
          </w:tcPr>
          <w:p>
            <w:r>
              <w:rPr>
                <w:rFonts w:ascii="Calibri" w:hAnsi="Calibri"/>
                <w:sz w:val="22"/>
              </w:rPr>
              <w:t>$8.81B</w:t>
            </w:r>
          </w:p>
        </w:tc>
        <w:tc>
          <w:tcPr>
            <w:tcW w:type="dxa" w:w="1440"/>
          </w:tcPr>
          <w:p>
            <w:r>
              <w:rPr>
                <w:rFonts w:ascii="Calibri" w:hAnsi="Calibri"/>
                <w:b/>
                <w:color w:val="30A46C"/>
                <w:sz w:val="22"/>
              </w:rPr>
              <w:t>+3.4%</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Adj. EBITDA</w:t>
            </w:r>
          </w:p>
        </w:tc>
        <w:tc>
          <w:tcPr>
            <w:tcW w:type="dxa" w:w="1440"/>
          </w:tcPr>
          <w:p>
            <w:r>
              <w:rPr>
                <w:rFonts w:ascii="Calibri" w:hAnsi="Calibri"/>
                <w:sz w:val="22"/>
              </w:rPr>
              <w:t>$0.770B</w:t>
            </w:r>
          </w:p>
        </w:tc>
        <w:tc>
          <w:tcPr>
            <w:tcW w:type="dxa" w:w="1440"/>
          </w:tcPr>
          <w:p>
            <w:r>
              <w:rPr>
                <w:rFonts w:ascii="Calibri" w:hAnsi="Calibri"/>
                <w:sz w:val="22"/>
              </w:rPr>
              <w:t>$0.725B</w:t>
            </w:r>
          </w:p>
        </w:tc>
        <w:tc>
          <w:tcPr>
            <w:tcW w:type="dxa" w:w="1440"/>
          </w:tcPr>
          <w:p>
            <w:r>
              <w:rPr>
                <w:rFonts w:ascii="Calibri" w:hAnsi="Calibri"/>
                <w:b/>
                <w:color w:val="30A46C"/>
                <w:sz w:val="22"/>
              </w:rPr>
              <w:t>+6.2%</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GEV has beaten revenue consensus in every quarter tracked, with an average revenue surprise of ~+5%; EBITDA beats are the norm but Q4 2025 was a notable miss, suggesting the street has since recalibrated its EBITDA modeling. Sources: Visible Alpha Consensus and Actuals Data.</w:t>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color w:val="525866"/>
          <w:sz w:val="22"/>
        </w:rPr>
        <w:t xml:space="preserve">Management raised guidance across all three financial metrics at Q1 earnings (April 22) and has not issued any subsequent revisions — </w:t>
      </w:r>
      <w:r>
        <w:rPr>
          <w:rFonts w:ascii="Calibri" w:hAnsi="Calibri"/>
          <w:b/>
          <w:color w:val="525866"/>
          <w:sz w:val="22"/>
        </w:rPr>
        <w:t>tone is confidently bullish</w:t>
      </w:r>
      <w:r>
        <w:rPr>
          <w:rFonts w:ascii="Calibri" w:hAnsi="Calibri"/>
          <w:color w:val="525866"/>
          <w:sz w:val="22"/>
        </w:rPr>
        <w:t>, with the $200B backlog target pulled forward a full year to 2027.</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 Apr 22,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Revenue</w:t>
            </w:r>
          </w:p>
        </w:tc>
        <w:tc>
          <w:tcPr>
            <w:tcW w:type="dxa" w:w="1728"/>
          </w:tcPr>
          <w:p>
            <w:r>
              <w:rPr>
                <w:rFonts w:ascii="Calibri" w:hAnsi="Calibri"/>
                <w:sz w:val="22"/>
              </w:rPr>
              <w:t>$44.5–$45.5B (raised from $44–$45B)</w:t>
            </w:r>
          </w:p>
        </w:tc>
        <w:tc>
          <w:tcPr>
            <w:tcW w:type="dxa" w:w="1728"/>
          </w:tcPr>
          <w:p>
            <w:r>
              <w:rPr>
                <w:rFonts w:ascii="Calibri" w:hAnsi="Calibri"/>
                <w:sz w:val="22"/>
              </w:rPr>
              <w:t>—</w:t>
            </w:r>
          </w:p>
        </w:tc>
        <w:tc>
          <w:tcPr>
            <w:tcW w:type="dxa" w:w="1728"/>
          </w:tcPr>
          <w:p>
            <w:r>
              <w:rPr>
                <w:rFonts w:ascii="Calibri" w:hAnsi="Calibri"/>
                <w:sz w:val="22"/>
              </w:rPr>
              <w:t>$45.49B</w:t>
            </w:r>
          </w:p>
        </w:tc>
        <w:tc>
          <w:tcPr>
            <w:tcW w:type="dxa" w:w="1728"/>
          </w:tcPr>
          <w:p>
            <w:r>
              <w:rPr>
                <w:rFonts w:ascii="Calibri" w:hAnsi="Calibri"/>
                <w:sz w:val="22"/>
              </w:rPr>
              <w:t>Raised at Q1 print; no post-earnings update. Consensus at top of range.</w:t>
            </w:r>
          </w:p>
        </w:tc>
      </w:tr>
      <w:tr>
        <w:tc>
          <w:tcPr>
            <w:tcW w:type="dxa" w:w="1728"/>
          </w:tcPr>
          <w:p>
            <w:r>
              <w:rPr>
                <w:rFonts w:ascii="Calibri" w:hAnsi="Calibri"/>
                <w:sz w:val="22"/>
              </w:rPr>
              <w:t>FY 2026 Adj. EBITDA Margin</w:t>
            </w:r>
          </w:p>
        </w:tc>
        <w:tc>
          <w:tcPr>
            <w:tcW w:type="dxa" w:w="1728"/>
          </w:tcPr>
          <w:p>
            <w:r>
              <w:rPr>
                <w:rFonts w:ascii="Calibri" w:hAnsi="Calibri"/>
                <w:sz w:val="22"/>
              </w:rPr>
              <w:t>12%–14% (raised from 11%–13%)</w:t>
            </w:r>
          </w:p>
        </w:tc>
        <w:tc>
          <w:tcPr>
            <w:tcW w:type="dxa" w:w="1728"/>
          </w:tcPr>
          <w:p>
            <w:r>
              <w:rPr>
                <w:rFonts w:ascii="Calibri" w:hAnsi="Calibri"/>
                <w:sz w:val="22"/>
              </w:rPr>
              <w:t>—</w:t>
            </w:r>
          </w:p>
        </w:tc>
        <w:tc>
          <w:tcPr>
            <w:tcW w:type="dxa" w:w="1728"/>
          </w:tcPr>
          <w:p>
            <w:r>
              <w:rPr>
                <w:rFonts w:ascii="Calibri" w:hAnsi="Calibri"/>
                <w:sz w:val="22"/>
              </w:rPr>
              <w:t>~13.7% implied</w:t>
            </w:r>
          </w:p>
        </w:tc>
        <w:tc>
          <w:tcPr>
            <w:tcW w:type="dxa" w:w="1728"/>
          </w:tcPr>
          <w:p>
            <w:r>
              <w:rPr>
                <w:rFonts w:ascii="Calibri" w:hAnsi="Calibri"/>
                <w:sz w:val="22"/>
              </w:rPr>
              <w:t>Raised at Q1 print; consensus near midpoint of new range.</w:t>
            </w:r>
          </w:p>
        </w:tc>
      </w:tr>
      <w:tr>
        <w:tc>
          <w:tcPr>
            <w:tcW w:type="dxa" w:w="1728"/>
          </w:tcPr>
          <w:p>
            <w:r>
              <w:rPr>
                <w:rFonts w:ascii="Calibri" w:hAnsi="Calibri"/>
                <w:sz w:val="22"/>
              </w:rPr>
              <w:t>FY 2026 Free Cash Flow</w:t>
            </w:r>
          </w:p>
        </w:tc>
        <w:tc>
          <w:tcPr>
            <w:tcW w:type="dxa" w:w="1728"/>
          </w:tcPr>
          <w:p>
            <w:r>
              <w:rPr>
                <w:rFonts w:ascii="Calibri" w:hAnsi="Calibri"/>
                <w:sz w:val="22"/>
              </w:rPr>
              <w:t>$6.5–$7.5B (raised from $5.0–$5.5B)</w:t>
            </w:r>
          </w:p>
        </w:tc>
        <w:tc>
          <w:tcPr>
            <w:tcW w:type="dxa" w:w="1728"/>
          </w:tcPr>
          <w:p>
            <w:r>
              <w:rPr>
                <w:rFonts w:ascii="Calibri" w:hAnsi="Calibri"/>
                <w:sz w:val="22"/>
              </w:rPr>
              <w:t>—</w:t>
            </w:r>
          </w:p>
        </w:tc>
        <w:tc>
          <w:tcPr>
            <w:tcW w:type="dxa" w:w="1728"/>
          </w:tcPr>
          <w:p>
            <w:r>
              <w:rPr>
                <w:rFonts w:ascii="Calibri" w:hAnsi="Calibri"/>
                <w:sz w:val="22"/>
              </w:rPr>
              <w:t>$6.91B</w:t>
            </w:r>
          </w:p>
        </w:tc>
        <w:tc>
          <w:tcPr>
            <w:tcW w:type="dxa" w:w="1728"/>
          </w:tcPr>
          <w:p>
            <w:r>
              <w:rPr>
                <w:rFonts w:ascii="Calibri" w:hAnsi="Calibri"/>
                <w:sz w:val="22"/>
              </w:rPr>
              <w:t>Raised substantially at Q1 print; consensus below midpoint, suggesting upside risk.</w:t>
            </w:r>
          </w:p>
        </w:tc>
      </w:tr>
      <w:tr>
        <w:tc>
          <w:tcPr>
            <w:tcW w:type="dxa" w:w="1728"/>
          </w:tcPr>
          <w:p>
            <w:r>
              <w:rPr>
                <w:rFonts w:ascii="Calibri" w:hAnsi="Calibri"/>
                <w:sz w:val="22"/>
              </w:rPr>
              <w:t>Power Organic Revenue Growth</w:t>
            </w:r>
          </w:p>
        </w:tc>
        <w:tc>
          <w:tcPr>
            <w:tcW w:type="dxa" w:w="1728"/>
          </w:tcPr>
          <w:p>
            <w:r>
              <w:rPr>
                <w:rFonts w:ascii="Calibri" w:hAnsi="Calibri"/>
                <w:sz w:val="22"/>
              </w:rPr>
              <w:t>+16%–18% (raised from +15%–17%)</w:t>
            </w:r>
          </w:p>
        </w:tc>
        <w:tc>
          <w:tcPr>
            <w:tcW w:type="dxa" w:w="1728"/>
          </w:tcPr>
          <w:p>
            <w:r>
              <w:rPr>
                <w:rFonts w:ascii="Calibri" w:hAnsi="Calibri"/>
                <w:sz w:val="22"/>
              </w:rPr>
              <w:t>—</w:t>
            </w:r>
          </w:p>
        </w:tc>
        <w:tc>
          <w:tcPr>
            <w:tcW w:type="dxa" w:w="1728"/>
          </w:tcPr>
          <w:p>
            <w:r>
              <w:rPr>
                <w:rFonts w:ascii="Calibri" w:hAnsi="Calibri"/>
                <w:sz w:val="22"/>
              </w:rPr>
              <w:t>~+17% implied</w:t>
            </w:r>
          </w:p>
        </w:tc>
        <w:tc>
          <w:tcPr>
            <w:tcW w:type="dxa" w:w="1728"/>
          </w:tcPr>
          <w:p>
            <w:r>
              <w:rPr>
                <w:rFonts w:ascii="Calibri" w:hAnsi="Calibri"/>
                <w:sz w:val="22"/>
              </w:rPr>
              <w:t>Raised at Q1 print; consensus at midpoint.</w:t>
            </w:r>
          </w:p>
        </w:tc>
      </w:tr>
      <w:tr>
        <w:tc>
          <w:tcPr>
            <w:tcW w:type="dxa" w:w="1728"/>
          </w:tcPr>
          <w:p>
            <w:r>
              <w:rPr>
                <w:rFonts w:ascii="Calibri" w:hAnsi="Calibri"/>
                <w:sz w:val="22"/>
              </w:rPr>
              <w:t>Power EBITDA Margin</w:t>
            </w:r>
          </w:p>
        </w:tc>
        <w:tc>
          <w:tcPr>
            <w:tcW w:type="dxa" w:w="1728"/>
          </w:tcPr>
          <w:p>
            <w:r>
              <w:rPr>
                <w:rFonts w:ascii="Calibri" w:hAnsi="Calibri"/>
                <w:sz w:val="22"/>
              </w:rPr>
              <w:t>17%–19% (raised from 16%–18%)</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Raised at Q1 print; no post-earnings update.</w:t>
            </w:r>
          </w:p>
        </w:tc>
      </w:tr>
      <w:tr>
        <w:tc>
          <w:tcPr>
            <w:tcW w:type="dxa" w:w="1728"/>
          </w:tcPr>
          <w:p>
            <w:r>
              <w:rPr>
                <w:rFonts w:ascii="Calibri" w:hAnsi="Calibri"/>
                <w:sz w:val="22"/>
              </w:rPr>
              <w:t>Electrification Revenue</w:t>
            </w:r>
          </w:p>
        </w:tc>
        <w:tc>
          <w:tcPr>
            <w:tcW w:type="dxa" w:w="1728"/>
          </w:tcPr>
          <w:p>
            <w:r>
              <w:rPr>
                <w:rFonts w:ascii="Calibri" w:hAnsi="Calibri"/>
                <w:sz w:val="22"/>
              </w:rPr>
              <w:t>$14.0–$14.5B (raised from $13.5–$14.0B)</w:t>
            </w:r>
          </w:p>
        </w:tc>
        <w:tc>
          <w:tcPr>
            <w:tcW w:type="dxa" w:w="1728"/>
          </w:tcPr>
          <w:p>
            <w:r>
              <w:rPr>
                <w:rFonts w:ascii="Calibri" w:hAnsi="Calibri"/>
                <w:sz w:val="22"/>
              </w:rPr>
              <w:t>—</w:t>
            </w:r>
          </w:p>
        </w:tc>
        <w:tc>
          <w:tcPr>
            <w:tcW w:type="dxa" w:w="1728"/>
          </w:tcPr>
          <w:p>
            <w:r>
              <w:rPr>
                <w:rFonts w:ascii="Calibri" w:hAnsi="Calibri"/>
                <w:sz w:val="22"/>
              </w:rPr>
              <w:t>$14.39B</w:t>
            </w:r>
          </w:p>
        </w:tc>
        <w:tc>
          <w:tcPr>
            <w:tcW w:type="dxa" w:w="1728"/>
          </w:tcPr>
          <w:p>
            <w:r>
              <w:rPr>
                <w:rFonts w:ascii="Calibri" w:hAnsi="Calibri"/>
                <w:sz w:val="22"/>
              </w:rPr>
              <w:t>Raised at Q1 print; consensus near midpoint.</w:t>
            </w:r>
          </w:p>
        </w:tc>
      </w:tr>
      <w:tr>
        <w:tc>
          <w:tcPr>
            <w:tcW w:type="dxa" w:w="1728"/>
          </w:tcPr>
          <w:p>
            <w:r>
              <w:rPr>
                <w:rFonts w:ascii="Calibri" w:hAnsi="Calibri"/>
                <w:sz w:val="22"/>
              </w:rPr>
              <w:t>Electrification EBITDA Margin</w:t>
            </w:r>
          </w:p>
        </w:tc>
        <w:tc>
          <w:tcPr>
            <w:tcW w:type="dxa" w:w="1728"/>
          </w:tcPr>
          <w:p>
            <w:r>
              <w:rPr>
                <w:rFonts w:ascii="Calibri" w:hAnsi="Calibri"/>
                <w:sz w:val="22"/>
              </w:rPr>
              <w:t>18%–20% (raised from 17%–19%)</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Raised at Q1 print; no post-earnings update.</w:t>
            </w:r>
          </w:p>
        </w:tc>
      </w:tr>
      <w:tr>
        <w:tc>
          <w:tcPr>
            <w:tcW w:type="dxa" w:w="1728"/>
          </w:tcPr>
          <w:p>
            <w:r>
              <w:rPr>
                <w:rFonts w:ascii="Calibri" w:hAnsi="Calibri"/>
                <w:sz w:val="22"/>
              </w:rPr>
              <w:t>Wind Organic Revenue</w:t>
            </w:r>
          </w:p>
        </w:tc>
        <w:tc>
          <w:tcPr>
            <w:tcW w:type="dxa" w:w="1728"/>
          </w:tcPr>
          <w:p>
            <w:r>
              <w:rPr>
                <w:rFonts w:ascii="Calibri" w:hAnsi="Calibri"/>
                <w:sz w:val="22"/>
              </w:rPr>
              <w:t>Down low-double digits (unchanged)</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 offshore losses expected to wrap through 2027.</w:t>
            </w:r>
          </w:p>
        </w:tc>
      </w:tr>
      <w:tr>
        <w:tc>
          <w:tcPr>
            <w:tcW w:type="dxa" w:w="1728"/>
          </w:tcPr>
          <w:p>
            <w:r>
              <w:rPr>
                <w:rFonts w:ascii="Calibri" w:hAnsi="Calibri"/>
                <w:sz w:val="22"/>
              </w:rPr>
              <w:t>Wind EBITDA Losses</w:t>
            </w:r>
          </w:p>
        </w:tc>
        <w:tc>
          <w:tcPr>
            <w:tcW w:type="dxa" w:w="1728"/>
          </w:tcPr>
          <w:p>
            <w:r>
              <w:rPr>
                <w:rFonts w:ascii="Calibri" w:hAnsi="Calibri"/>
                <w:sz w:val="22"/>
              </w:rPr>
              <w:t>~$(400)M (unchanged)</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 onshore services improving, offshore drag persists.</w:t>
            </w:r>
          </w:p>
        </w:tc>
      </w:tr>
      <w:tr>
        <w:tc>
          <w:tcPr>
            <w:tcW w:type="dxa" w:w="1728"/>
          </w:tcPr>
          <w:p>
            <w:r>
              <w:rPr>
                <w:rFonts w:ascii="Calibri" w:hAnsi="Calibri"/>
                <w:sz w:val="22"/>
              </w:rPr>
              <w:t>Gas Power GW Under Contract</w:t>
            </w:r>
          </w:p>
        </w:tc>
        <w:tc>
          <w:tcPr>
            <w:tcW w:type="dxa" w:w="1728"/>
          </w:tcPr>
          <w:p>
            <w:r>
              <w:rPr>
                <w:rFonts w:ascii="Calibri" w:hAnsi="Calibri"/>
                <w:sz w:val="22"/>
              </w:rPr>
              <w:t>≥10 GW by year-end 2026 (raised from 100 GW)</w:t>
            </w:r>
          </w:p>
        </w:tc>
        <w:tc>
          <w:tcPr>
            <w:tcW w:type="dxa" w:w="1728"/>
          </w:tcPr>
          <w:p>
            <w:r>
              <w:rPr>
                <w:rFonts w:ascii="Calibri" w:hAnsi="Calibri"/>
                <w:sz w:val="22"/>
              </w:rPr>
              <w:t>—</w:t>
            </w:r>
          </w:p>
        </w:tc>
        <w:tc>
          <w:tcPr>
            <w:tcW w:type="dxa" w:w="1728"/>
          </w:tcPr>
          <w:p>
            <w:r>
              <w:rPr>
                <w:rFonts w:ascii="Calibri" w:hAnsi="Calibri"/>
                <w:sz w:val="22"/>
              </w:rPr>
              <w:t>N/A — operational metric</w:t>
            </w:r>
          </w:p>
        </w:tc>
        <w:tc>
          <w:tcPr>
            <w:tcW w:type="dxa" w:w="1728"/>
          </w:tcPr>
          <w:p>
            <w:r>
              <w:rPr>
                <w:rFonts w:ascii="Calibri" w:hAnsi="Calibri"/>
                <w:sz w:val="22"/>
              </w:rPr>
              <w:t>Raised at Q1 print; 100 GW already achieved; new target ≥110 GW.</w:t>
            </w:r>
          </w:p>
        </w:tc>
      </w:tr>
    </w:tbl>
    <w:p>
      <w:r>
        <w:rPr>
          <w:rFonts w:ascii="Calibri" w:hAnsi="Calibri"/>
          <w:i/>
          <w:color w:val="525866"/>
          <w:sz w:val="22"/>
        </w:rPr>
        <w:t>Source: GE Vernova Q1 2026 Earnings Release (8-K EX-99, April 22, 2026); Visible Alpha Consensus Data.</w:t>
      </w:r>
    </w:p>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modestly higher since Q1 earnings across all key metrics, </w:t>
      </w:r>
      <w:r>
        <w:rPr>
          <w:rFonts w:ascii="Calibri" w:hAnsi="Calibri"/>
          <w:b/>
          <w:color w:val="525866"/>
          <w:sz w:val="22"/>
        </w:rPr>
        <w:t>tracking guidance rather than diverging from it</w:t>
      </w:r>
      <w:r>
        <w:rPr>
          <w:rFonts w:ascii="Calibri" w:hAnsi="Calibri"/>
          <w:color w:val="525866"/>
          <w:sz w:val="22"/>
        </w:rPr>
        <w:t xml:space="preserve"> — the gap between consensus and guidance midpoints is narrow, suggesting limited risk of a guidance-driven miss but also limited room for a guidance-driven beat unless management raises again.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(Apr 29, 2026 — ~5 days post Q1)</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(2Q 2026)</w:t>
            </w:r>
          </w:p>
        </w:tc>
        <w:tc>
          <w:tcPr>
            <w:tcW w:type="dxa" w:w="1080"/>
          </w:tcPr>
          <w:p>
            <w:r>
              <w:rPr>
                <w:rFonts w:ascii="Calibri" w:hAnsi="Calibri"/>
                <w:sz w:val="22"/>
              </w:rPr>
              <w:t>$10.742B</w:t>
            </w:r>
          </w:p>
        </w:tc>
        <w:tc>
          <w:tcPr>
            <w:tcW w:type="dxa" w:w="1080"/>
          </w:tcPr>
          <w:p>
            <w:r>
              <w:rPr>
                <w:rFonts w:ascii="Calibri" w:hAnsi="Calibri"/>
                <w:sz w:val="22"/>
              </w:rPr>
              <w:t>$10.800B</w:t>
            </w:r>
          </w:p>
        </w:tc>
        <w:tc>
          <w:tcPr>
            <w:tcW w:type="dxa" w:w="1080"/>
          </w:tcPr>
          <w:p>
            <w:r>
              <w:rPr>
                <w:rFonts w:ascii="Calibri" w:hAnsi="Calibri"/>
                <w:b/>
                <w:color w:val="30A46C"/>
                <w:sz w:val="22"/>
              </w:rPr>
              <w:t>+0.5%</w:t>
            </w:r>
          </w:p>
        </w:tc>
        <w:tc>
          <w:tcPr>
            <w:tcW w:type="dxa" w:w="1080"/>
          </w:tcPr>
          <w:p>
            <w:r>
              <w:rPr>
                <w:rFonts w:ascii="Calibri" w:hAnsi="Calibri"/>
                <w:sz w:val="22"/>
              </w:rPr>
              <w:t>N/A (no Q2 guide)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Revenue (FY 2026)</w:t>
            </w:r>
          </w:p>
        </w:tc>
        <w:tc>
          <w:tcPr>
            <w:tcW w:type="dxa" w:w="1080"/>
          </w:tcPr>
          <w:p>
            <w:r>
              <w:rPr>
                <w:rFonts w:ascii="Calibri" w:hAnsi="Calibri"/>
                <w:sz w:val="22"/>
              </w:rPr>
              <w:t>$45.520B</w:t>
            </w:r>
          </w:p>
        </w:tc>
        <w:tc>
          <w:tcPr>
            <w:tcW w:type="dxa" w:w="1080"/>
          </w:tcPr>
          <w:p>
            <w:r>
              <w:rPr>
                <w:rFonts w:ascii="Calibri" w:hAnsi="Calibri"/>
                <w:sz w:val="22"/>
              </w:rPr>
              <w:t>$45.489B</w:t>
            </w:r>
          </w:p>
        </w:tc>
        <w:tc>
          <w:tcPr>
            <w:tcW w:type="dxa" w:w="1080"/>
          </w:tcPr>
          <w:p>
            <w:r>
              <w:rPr>
                <w:rFonts w:ascii="Calibri" w:hAnsi="Calibri"/>
                <w:sz w:val="22"/>
              </w:rPr>
              <w:t>-0.1%</w:t>
            </w:r>
          </w:p>
        </w:tc>
        <w:tc>
          <w:tcPr>
            <w:tcW w:type="dxa" w:w="1080"/>
          </w:tcPr>
          <w:p>
            <w:r>
              <w:rPr>
                <w:rFonts w:ascii="Calibri" w:hAnsi="Calibri"/>
                <w:sz w:val="22"/>
              </w:rPr>
              <w:t>$44–$45B (prior)</w:t>
            </w:r>
          </w:p>
        </w:tc>
        <w:tc>
          <w:tcPr>
            <w:tcW w:type="dxa" w:w="1080"/>
          </w:tcPr>
          <w:p>
            <w:r>
              <w:rPr>
                <w:rFonts w:ascii="Calibri" w:hAnsi="Calibri"/>
                <w:sz w:val="22"/>
              </w:rPr>
              <w:t>$44.5–$45.5B</w:t>
            </w:r>
          </w:p>
        </w:tc>
        <w:tc>
          <w:tcPr>
            <w:tcW w:type="dxa" w:w="1080"/>
          </w:tcPr>
          <w:p>
            <w:r>
              <w:rPr>
                <w:rFonts w:ascii="Calibri" w:hAnsi="Calibri"/>
                <w:sz w:val="22"/>
              </w:rPr>
              <w:t>+$0.5B midpoint</w:t>
            </w:r>
          </w:p>
        </w:tc>
        <w:tc>
          <w:tcPr>
            <w:tcW w:type="dxa" w:w="1080"/>
          </w:tcPr>
          <w:p>
            <w:r>
              <w:rPr>
                <w:rFonts w:ascii="Calibri" w:hAnsi="Calibri"/>
                <w:sz w:val="22"/>
              </w:rPr>
              <w:t>+0.9% above midpoint</w:t>
            </w:r>
          </w:p>
        </w:tc>
      </w:tr>
      <w:tr>
        <w:tc>
          <w:tcPr>
            <w:tcW w:type="dxa" w:w="1080"/>
          </w:tcPr>
          <w:p>
            <w:r>
              <w:rPr>
                <w:rFonts w:ascii="Calibri" w:hAnsi="Calibri"/>
                <w:sz w:val="22"/>
              </w:rPr>
              <w:t>Adj. EBITDA (2Q 2026)</w:t>
            </w:r>
          </w:p>
        </w:tc>
        <w:tc>
          <w:tcPr>
            <w:tcW w:type="dxa" w:w="1080"/>
          </w:tcPr>
          <w:p>
            <w:r>
              <w:rPr>
                <w:rFonts w:ascii="Calibri" w:hAnsi="Calibri"/>
                <w:sz w:val="22"/>
              </w:rPr>
              <w:t>$1.271B</w:t>
            </w:r>
          </w:p>
        </w:tc>
        <w:tc>
          <w:tcPr>
            <w:tcW w:type="dxa" w:w="1080"/>
          </w:tcPr>
          <w:p>
            <w:r>
              <w:rPr>
                <w:rFonts w:ascii="Calibri" w:hAnsi="Calibri"/>
                <w:sz w:val="22"/>
              </w:rPr>
              <w:t>$1.278B</w:t>
            </w:r>
          </w:p>
        </w:tc>
        <w:tc>
          <w:tcPr>
            <w:tcW w:type="dxa" w:w="1080"/>
          </w:tcPr>
          <w:p>
            <w:r>
              <w:rPr>
                <w:rFonts w:ascii="Calibri" w:hAnsi="Calibri"/>
                <w:b/>
                <w:color w:val="30A46C"/>
                <w:sz w:val="22"/>
              </w:rPr>
              <w:t>+0.6%</w:t>
            </w:r>
          </w:p>
        </w:tc>
        <w:tc>
          <w:tcPr>
            <w:tcW w:type="dxa" w:w="1080"/>
          </w:tcPr>
          <w:p>
            <w:r>
              <w:rPr>
                <w:rFonts w:ascii="Calibri" w:hAnsi="Calibri"/>
                <w:sz w:val="22"/>
              </w:rPr>
              <w:t>N/A (no Q2 guide)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(FY 2026)</w:t>
            </w:r>
          </w:p>
        </w:tc>
        <w:tc>
          <w:tcPr>
            <w:tcW w:type="dxa" w:w="1080"/>
          </w:tcPr>
          <w:p>
            <w:r>
              <w:rPr>
                <w:rFonts w:ascii="Calibri" w:hAnsi="Calibri"/>
                <w:sz w:val="22"/>
              </w:rPr>
              <w:t>$6.233B</w:t>
            </w:r>
          </w:p>
        </w:tc>
        <w:tc>
          <w:tcPr>
            <w:tcW w:type="dxa" w:w="1080"/>
          </w:tcPr>
          <w:p>
            <w:r>
              <w:rPr>
                <w:rFonts w:ascii="Calibri" w:hAnsi="Calibri"/>
                <w:sz w:val="22"/>
              </w:rPr>
              <w:t>$6.227B</w:t>
            </w:r>
          </w:p>
        </w:tc>
        <w:tc>
          <w:tcPr>
            <w:tcW w:type="dxa" w:w="1080"/>
          </w:tcPr>
          <w:p>
            <w:r>
              <w:rPr>
                <w:rFonts w:ascii="Calibri" w:hAnsi="Calibri"/>
                <w:sz w:val="22"/>
              </w:rPr>
              <w:t>-0.1%</w:t>
            </w:r>
          </w:p>
        </w:tc>
        <w:tc>
          <w:tcPr>
            <w:tcW w:type="dxa" w:w="1080"/>
          </w:tcPr>
          <w:p>
            <w:r>
              <w:rPr>
                <w:rFonts w:ascii="Calibri" w:hAnsi="Calibri"/>
                <w:sz w:val="22"/>
              </w:rPr>
              <w:t>11%–13% margin (prior)</w:t>
            </w:r>
          </w:p>
        </w:tc>
        <w:tc>
          <w:tcPr>
            <w:tcW w:type="dxa" w:w="1080"/>
          </w:tcPr>
          <w:p>
            <w:r>
              <w:rPr>
                <w:rFonts w:ascii="Calibri" w:hAnsi="Calibri"/>
                <w:sz w:val="22"/>
              </w:rPr>
              <w:t>12%–14% margin</w:t>
            </w:r>
          </w:p>
        </w:tc>
        <w:tc>
          <w:tcPr>
            <w:tcW w:type="dxa" w:w="1080"/>
          </w:tcPr>
          <w:p>
            <w:r>
              <w:rPr>
                <w:rFonts w:ascii="Calibri" w:hAnsi="Calibri"/>
                <w:sz w:val="22"/>
              </w:rPr>
              <w:t>+100bps midpoint</w:t>
            </w:r>
          </w:p>
        </w:tc>
        <w:tc>
          <w:tcPr>
            <w:tcW w:type="dxa" w:w="1080"/>
          </w:tcPr>
          <w:p>
            <w:r>
              <w:rPr>
                <w:rFonts w:ascii="Calibri" w:hAnsi="Calibri"/>
                <w:sz w:val="22"/>
              </w:rPr>
              <w:t>~13.7% implied; near midpoint</w:t>
            </w:r>
          </w:p>
        </w:tc>
      </w:tr>
      <w:tr>
        <w:tc>
          <w:tcPr>
            <w:tcW w:type="dxa" w:w="1080"/>
          </w:tcPr>
          <w:p>
            <w:r>
              <w:rPr>
                <w:rFonts w:ascii="Calibri" w:hAnsi="Calibri"/>
                <w:sz w:val="22"/>
              </w:rPr>
              <w:t>EPS — Diluted Operating (2Q 2026)</w:t>
            </w:r>
          </w:p>
        </w:tc>
        <w:tc>
          <w:tcPr>
            <w:tcW w:type="dxa" w:w="1080"/>
          </w:tcPr>
          <w:p>
            <w:r>
              <w:rPr>
                <w:rFonts w:ascii="Calibri" w:hAnsi="Calibri"/>
                <w:sz w:val="22"/>
              </w:rPr>
              <w:t>$2.871</w:t>
            </w:r>
          </w:p>
        </w:tc>
        <w:tc>
          <w:tcPr>
            <w:tcW w:type="dxa" w:w="1080"/>
          </w:tcPr>
          <w:p>
            <w:r>
              <w:rPr>
                <w:rFonts w:ascii="Calibri" w:hAnsi="Calibri"/>
                <w:sz w:val="22"/>
              </w:rPr>
              <w:t>$2.878</w:t>
            </w:r>
          </w:p>
        </w:tc>
        <w:tc>
          <w:tcPr>
            <w:tcW w:type="dxa" w:w="1080"/>
          </w:tcPr>
          <w:p>
            <w:r>
              <w:rPr>
                <w:rFonts w:ascii="Calibri" w:hAnsi="Calibri"/>
                <w:sz w:val="22"/>
              </w:rPr>
              <w:t>+0.2%</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EPS — Diluted Operating (FY 2026)</w:t>
            </w:r>
          </w:p>
        </w:tc>
        <w:tc>
          <w:tcPr>
            <w:tcW w:type="dxa" w:w="1080"/>
          </w:tcPr>
          <w:p>
            <w:r>
              <w:rPr>
                <w:rFonts w:ascii="Calibri" w:hAnsi="Calibri"/>
                <w:sz w:val="22"/>
              </w:rPr>
              <w:t>$14.003</w:t>
            </w:r>
          </w:p>
        </w:tc>
        <w:tc>
          <w:tcPr>
            <w:tcW w:type="dxa" w:w="1080"/>
          </w:tcPr>
          <w:p>
            <w:r>
              <w:rPr>
                <w:rFonts w:ascii="Calibri" w:hAnsi="Calibri"/>
                <w:sz w:val="22"/>
              </w:rPr>
              <w:t>$14.610</w:t>
            </w:r>
          </w:p>
        </w:tc>
        <w:tc>
          <w:tcPr>
            <w:tcW w:type="dxa" w:w="1080"/>
          </w:tcPr>
          <w:p>
            <w:r>
              <w:rPr>
                <w:rFonts w:ascii="Calibri" w:hAnsi="Calibri"/>
                <w:b/>
                <w:color w:val="30A46C"/>
                <w:sz w:val="22"/>
              </w:rPr>
              <w:t>+4.3%</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Free Cash Flow (FY 2026)</w:t>
            </w:r>
          </w:p>
        </w:tc>
        <w:tc>
          <w:tcPr>
            <w:tcW w:type="dxa" w:w="1080"/>
          </w:tcPr>
          <w:p>
            <w:r>
              <w:rPr>
                <w:rFonts w:ascii="Calibri" w:hAnsi="Calibri"/>
                <w:sz w:val="22"/>
              </w:rPr>
              <w:t>$7.138B</w:t>
            </w:r>
          </w:p>
        </w:tc>
        <w:tc>
          <w:tcPr>
            <w:tcW w:type="dxa" w:w="1080"/>
          </w:tcPr>
          <w:p>
            <w:r>
              <w:rPr>
                <w:rFonts w:ascii="Calibri" w:hAnsi="Calibri"/>
                <w:sz w:val="22"/>
              </w:rPr>
              <w:t>$6.914B</w:t>
            </w:r>
          </w:p>
        </w:tc>
        <w:tc>
          <w:tcPr>
            <w:tcW w:type="dxa" w:w="1080"/>
          </w:tcPr>
          <w:p>
            <w:r>
              <w:rPr>
                <w:rFonts w:ascii="Calibri" w:hAnsi="Calibri"/>
                <w:b/>
                <w:color w:val="E5484D"/>
                <w:sz w:val="22"/>
              </w:rPr>
              <w:t>-3.1%</w:t>
            </w:r>
          </w:p>
        </w:tc>
        <w:tc>
          <w:tcPr>
            <w:tcW w:type="dxa" w:w="1080"/>
          </w:tcPr>
          <w:p>
            <w:r>
              <w:rPr>
                <w:rFonts w:ascii="Calibri" w:hAnsi="Calibri"/>
                <w:sz w:val="22"/>
              </w:rPr>
              <w:t>$5.0–$5.5B (prior)</w:t>
            </w:r>
          </w:p>
        </w:tc>
        <w:tc>
          <w:tcPr>
            <w:tcW w:type="dxa" w:w="1080"/>
          </w:tcPr>
          <w:p>
            <w:r>
              <w:rPr>
                <w:rFonts w:ascii="Calibri" w:hAnsi="Calibri"/>
                <w:sz w:val="22"/>
              </w:rPr>
              <w:t>$6.5–$7.5B</w:t>
            </w:r>
          </w:p>
        </w:tc>
        <w:tc>
          <w:tcPr>
            <w:tcW w:type="dxa" w:w="1080"/>
          </w:tcPr>
          <w:p>
            <w:r>
              <w:rPr>
                <w:rFonts w:ascii="Calibri" w:hAnsi="Calibri"/>
                <w:sz w:val="22"/>
              </w:rPr>
              <w:t>+$1.5B midpoint</w:t>
            </w:r>
          </w:p>
        </w:tc>
        <w:tc>
          <w:tcPr>
            <w:tcW w:type="dxa" w:w="1080"/>
          </w:tcPr>
          <w:p>
            <w:r>
              <w:rPr>
                <w:rFonts w:ascii="Calibri" w:hAnsi="Calibri"/>
                <w:sz w:val="22"/>
              </w:rPr>
              <w:t>-1.2% below midpoint</w:t>
            </w:r>
          </w:p>
        </w:tc>
      </w:tr>
    </w:tbl>
    <w:p>
      <w:r>
        <w:rPr>
          <w:rFonts w:ascii="Calibri" w:hAnsi="Calibri"/>
          <w:i/>
          <w:color w:val="525866"/>
          <w:sz w:val="22"/>
        </w:rPr>
        <w:t>Estimates have been remarkably stable since Q1 earnings, with revisions of less than 1% on most metrics — the exception is FY EPS (+4.3%), suggesting analysts are modeling better-than-guided margin flow-through. FCF consensus has drifted slightly below the guidance midpoint, likely reflecting conservatism around Q2 working capital timing after the anomalous Q1 inflow. Sources: Visible Alpha Consensus and Actuals Data.</w:t>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 xml:space="preserve">GEV has </w:t>
      </w:r>
      <w:r>
        <w:rPr>
          <w:rFonts w:ascii="Calibri" w:hAnsi="Calibri"/>
          <w:b/>
          <w:color w:val="525866"/>
          <w:sz w:val="22"/>
        </w:rPr>
        <w:t>significantly underperformed XLI and the S&amp;P 500 since Q1 earnings</w:t>
      </w:r>
      <w:r>
        <w:rPr>
          <w:rFonts w:ascii="Calibri" w:hAnsi="Calibri"/>
          <w:color w:val="525866"/>
          <w:sz w:val="22"/>
        </w:rPr>
        <w:t xml:space="preserve"> (down ~4.3% vs. XLI +4.5% and SPY +5.2%), driven by multiple compression after the stock peaked near $1,175 in late June — the pullback is sentiment/valuation-driven, not fundamental, and sets up a cleaner entry into the print.</w:t>
      </w:r>
    </w:p>
    <w:p>
      <w:r>
        <w:rPr>
          <w:rFonts w:ascii="Calibri" w:hAnsi="Calibri"/>
          <w:color w:val="525866"/>
          <w:sz w:val="22"/>
        </w:rPr>
        <w:t xml:space="preserve">Since the Q1 2026 earnings date (April 22, 2026), GEV opened at $1,127.56 and closed at $1,078.81 on July 21, 2026, a decline of approximately </w:t>
      </w:r>
      <w:r>
        <w:rPr>
          <w:rFonts w:ascii="Calibri" w:hAnsi="Calibri"/>
          <w:b/>
          <w:color w:val="525866"/>
          <w:sz w:val="22"/>
        </w:rPr>
        <w:t>-4.3%</w:t>
      </w:r>
      <w:r>
        <w:rPr>
          <w:rFonts w:ascii="Calibri" w:hAnsi="Calibri"/>
          <w:color w:val="525866"/>
          <w:sz w:val="22"/>
        </w:rPr>
        <w:t xml:space="preserve">. Over the same period, XLI (Industrials ETF) rose approximately +4.5% (from 171.04 to 178.66) and SPY rose approximately +5.2% (from 711.21 to 748.28). GEV's relative underperformance of ~8–10 percentage points vs. both benchmarks reflects multiple compression from elevated post-Q1 levels, not deteriorating fundamentals. The stock peaked at $1,174.86 on June 30 before pulling back ~8% into the print. Key events during the period: </w:t>
      </w:r>
    </w:p>
    <w:p>
      <w:pPr>
        <w:pStyle w:val="ListBullet"/>
        <w:ind w:left="360" w:hanging="360"/>
      </w:pPr>
      <w:r>
        <w:rPr>
          <w:rFonts w:ascii="Calibri" w:hAnsi="Calibri"/>
          <w:b/>
          <w:color w:val="525866"/>
          <w:sz w:val="22"/>
        </w:rPr>
        <w:t>April 22, 2026:</w:t>
      </w:r>
      <w:r>
        <w:rPr>
          <w:rFonts w:ascii="Calibri" w:hAnsi="Calibri"/>
          <w:color w:val="525866"/>
          <w:sz w:val="22"/>
        </w:rPr>
        <w:t xml:space="preserve"> Q1 2026 earnings beat; guidance raised across all metrics; stock opened near prior close (muted reaction, elevated expectations already priced in).</w:t>
      </w:r>
    </w:p>
    <w:p>
      <w:pPr>
        <w:pStyle w:val="ListBullet"/>
        <w:ind w:left="360" w:hanging="360"/>
      </w:pPr>
      <w:r>
        <w:rPr>
          <w:rFonts w:ascii="Calibri" w:hAnsi="Calibri"/>
          <w:b/>
          <w:color w:val="525866"/>
          <w:sz w:val="22"/>
        </w:rPr>
        <w:t>May 7–8, 2026:</w:t>
      </w:r>
      <w:r>
        <w:rPr>
          <w:rFonts w:ascii="Calibri" w:hAnsi="Calibri"/>
          <w:color w:val="525866"/>
          <w:sz w:val="22"/>
        </w:rPr>
        <w:t xml:space="preserve"> Stock sold off ~7% over two sessions (from ~$1,119 to ~$1,040) on no company-specific news — likely sector rotation and tariff-related macro concerns.</w:t>
      </w:r>
    </w:p>
    <w:p>
      <w:pPr>
        <w:pStyle w:val="ListBullet"/>
        <w:ind w:left="360" w:hanging="360"/>
      </w:pPr>
      <w:r>
        <w:rPr>
          <w:rFonts w:ascii="Calibri" w:hAnsi="Calibri"/>
          <w:b/>
          <w:color w:val="525866"/>
          <w:sz w:val="22"/>
        </w:rPr>
        <w:t>May 21, 2026:</w:t>
      </w:r>
      <w:r>
        <w:rPr>
          <w:rFonts w:ascii="Calibri" w:hAnsi="Calibri"/>
          <w:color w:val="525866"/>
          <w:sz w:val="22"/>
        </w:rPr>
        <w:t xml:space="preserve"> Robotech Automation acquisition announced (small Montreal robotics firm, ~35 employees); minimal stock impact.</w:t>
      </w:r>
    </w:p>
    <w:p>
      <w:pPr>
        <w:pStyle w:val="ListBullet"/>
        <w:ind w:left="360" w:hanging="360"/>
      </w:pPr>
      <w:r>
        <w:rPr>
          <w:rFonts w:ascii="Calibri" w:hAnsi="Calibri"/>
          <w:b/>
          <w:color w:val="525866"/>
          <w:sz w:val="22"/>
        </w:rPr>
        <w:t>June 10, 2026:</w:t>
      </w:r>
      <w:r>
        <w:rPr>
          <w:rFonts w:ascii="Calibri" w:hAnsi="Calibri"/>
          <w:color w:val="525866"/>
          <w:sz w:val="22"/>
        </w:rPr>
        <w:t xml:space="preserve"> Stock hit a trough near $867 intraday before recovering sharply — likely macro/sector-driven selloff.</w:t>
      </w:r>
    </w:p>
    <w:p>
      <w:pPr>
        <w:pStyle w:val="ListBullet"/>
        <w:ind w:left="360" w:hanging="360"/>
      </w:pPr>
      <w:r>
        <w:rPr>
          <w:rFonts w:ascii="Calibri" w:hAnsi="Calibri"/>
          <w:b/>
          <w:color w:val="525866"/>
          <w:sz w:val="22"/>
        </w:rPr>
        <w:t>June 17–30, 2026:</w:t>
      </w:r>
      <w:r>
        <w:rPr>
          <w:rFonts w:ascii="Calibri" w:hAnsi="Calibri"/>
          <w:color w:val="525866"/>
          <w:sz w:val="22"/>
        </w:rPr>
        <w:t xml:space="preserve"> Strong recovery rally from ~$1,049 to $1,175 peak, driven by renewed AI/data-center infrastructure enthusiasm and sector re-rating.</w:t>
      </w:r>
    </w:p>
    <w:p>
      <w:pPr>
        <w:pStyle w:val="ListBullet"/>
        <w:ind w:left="360" w:hanging="360"/>
      </w:pPr>
      <w:r>
        <w:rPr>
          <w:rFonts w:ascii="Calibri" w:hAnsi="Calibri"/>
          <w:b/>
          <w:color w:val="525866"/>
          <w:sz w:val="22"/>
        </w:rPr>
        <w:t>July 2026:</w:t>
      </w:r>
      <w:r>
        <w:rPr>
          <w:rFonts w:ascii="Calibri" w:hAnsi="Calibri"/>
          <w:color w:val="525866"/>
          <w:sz w:val="22"/>
        </w:rPr>
        <w:t xml:space="preserve"> Gradual pullback from peak to ~$1,079, consolidating ahead of Q2 print.</w:t>
      </w:r>
    </w:p>
    <w:p>
      <w:r>
        <w:rPr>
          <w:rFonts w:ascii="Calibri" w:hAnsi="Calibri"/>
          <w:b/>
          <w:color w:val="525866"/>
          <w:sz w:val="22"/>
        </w:rPr>
        <w:t xml:space="preserve">Sector ETF used: </w:t>
      </w:r>
      <w:r>
        <w:rPr>
          <w:rFonts w:ascii="Calibri" w:hAnsi="Calibri"/>
          <w:color w:val="525866"/>
          <w:sz w:val="22"/>
        </w:rPr>
        <w:t>XLI (Industrial Select Sector SPDR Fund) — appropriate given GEV's classification as an industrial conglomerate spanning power equipment, grid infrastructure, and wind energy. Source: Stock Price Data (Yahoo Finance).</w:t>
      </w:r>
    </w:p>
    <w:p>
      <w:pPr>
        <w:pStyle w:val="Heading3"/>
      </w:pPr>
      <w:r>
        <w:rPr>
          <w:rFonts w:ascii="Calibri" w:hAnsi="Calibri"/>
          <w:b/>
          <w:color w:val="3B4259"/>
          <w:sz w:val="24"/>
        </w:rPr>
        <w:t>Indexed Price Performance: GEV vs. XLI vs. S&amp;P 500 — Since April 22, 2026 (Q1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GEV (Indexed)</w:t>
            </w:r>
          </w:p>
        </w:tc>
        <w:tc>
          <w:tcPr>
            <w:tcW w:type="dxa" w:w="2160"/>
            <w:shd w:val="clear" w:color="auto" w:fill="3B4259"/>
          </w:tcPr>
          <w:p>
            <w:r>
              <w:rPr>
                <w:rFonts w:ascii="Calibri" w:hAnsi="Calibri"/>
                <w:b/>
                <w:color w:val="FFFFFF"/>
                <w:sz w:val="22"/>
              </w:rPr>
              <w:t>XLI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22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Apr 30</w:t>
            </w:r>
          </w:p>
        </w:tc>
        <w:tc>
          <w:tcPr>
            <w:tcW w:type="dxa" w:w="2160"/>
          </w:tcPr>
          <w:p>
            <w:r>
              <w:rPr>
                <w:rFonts w:ascii="Calibri" w:hAnsi="Calibri"/>
                <w:sz w:val="22"/>
              </w:rPr>
              <w:t>96.1</w:t>
            </w:r>
          </w:p>
        </w:tc>
        <w:tc>
          <w:tcPr>
            <w:tcW w:type="dxa" w:w="2160"/>
          </w:tcPr>
          <w:p>
            <w:r>
              <w:rPr>
                <w:rFonts w:ascii="Calibri" w:hAnsi="Calibri"/>
                <w:sz w:val="22"/>
              </w:rPr>
              <w:t>102.1</w:t>
            </w:r>
          </w:p>
        </w:tc>
        <w:tc>
          <w:tcPr>
            <w:tcW w:type="dxa" w:w="2160"/>
          </w:tcPr>
          <w:p>
            <w:r>
              <w:rPr>
                <w:rFonts w:ascii="Calibri" w:hAnsi="Calibri"/>
                <w:sz w:val="22"/>
              </w:rPr>
              <w:t>101.0</w:t>
            </w:r>
          </w:p>
        </w:tc>
      </w:tr>
      <w:tr>
        <w:tc>
          <w:tcPr>
            <w:tcW w:type="dxa" w:w="2160"/>
          </w:tcPr>
          <w:p>
            <w:r>
              <w:rPr>
                <w:rFonts w:ascii="Calibri" w:hAnsi="Calibri"/>
                <w:sz w:val="22"/>
              </w:rPr>
              <w:t>May 15</w:t>
            </w:r>
          </w:p>
        </w:tc>
        <w:tc>
          <w:tcPr>
            <w:tcW w:type="dxa" w:w="2160"/>
          </w:tcPr>
          <w:p>
            <w:r>
              <w:rPr>
                <w:rFonts w:ascii="Calibri" w:hAnsi="Calibri"/>
                <w:sz w:val="22"/>
              </w:rPr>
              <w:t>93.1</w:t>
            </w:r>
          </w:p>
        </w:tc>
        <w:tc>
          <w:tcPr>
            <w:tcW w:type="dxa" w:w="2160"/>
          </w:tcPr>
          <w:p>
            <w:r>
              <w:rPr>
                <w:rFonts w:ascii="Calibri" w:hAnsi="Calibri"/>
                <w:sz w:val="22"/>
              </w:rPr>
              <w:t>100.2</w:t>
            </w:r>
          </w:p>
        </w:tc>
        <w:tc>
          <w:tcPr>
            <w:tcW w:type="dxa" w:w="2160"/>
          </w:tcPr>
          <w:p>
            <w:r>
              <w:rPr>
                <w:rFonts w:ascii="Calibri" w:hAnsi="Calibri"/>
                <w:sz w:val="22"/>
              </w:rPr>
              <w:t>103.9</w:t>
            </w:r>
          </w:p>
        </w:tc>
      </w:tr>
      <w:tr>
        <w:tc>
          <w:tcPr>
            <w:tcW w:type="dxa" w:w="2160"/>
          </w:tcPr>
          <w:p>
            <w:r>
              <w:rPr>
                <w:rFonts w:ascii="Calibri" w:hAnsi="Calibri"/>
                <w:sz w:val="22"/>
              </w:rPr>
              <w:t>May 29</w:t>
            </w:r>
          </w:p>
        </w:tc>
        <w:tc>
          <w:tcPr>
            <w:tcW w:type="dxa" w:w="2160"/>
          </w:tcPr>
          <w:p>
            <w:r>
              <w:rPr>
                <w:rFonts w:ascii="Calibri" w:hAnsi="Calibri"/>
                <w:sz w:val="22"/>
              </w:rPr>
              <w:t>85.9</w:t>
            </w:r>
          </w:p>
        </w:tc>
        <w:tc>
          <w:tcPr>
            <w:tcW w:type="dxa" w:w="2160"/>
          </w:tcPr>
          <w:p>
            <w:r>
              <w:rPr>
                <w:rFonts w:ascii="Calibri" w:hAnsi="Calibri"/>
                <w:sz w:val="22"/>
              </w:rPr>
              <w:t>101.2</w:t>
            </w:r>
          </w:p>
        </w:tc>
        <w:tc>
          <w:tcPr>
            <w:tcW w:type="dxa" w:w="2160"/>
          </w:tcPr>
          <w:p>
            <w:r>
              <w:rPr>
                <w:rFonts w:ascii="Calibri" w:hAnsi="Calibri"/>
                <w:sz w:val="22"/>
              </w:rPr>
              <w:t>106.4</w:t>
            </w:r>
          </w:p>
        </w:tc>
      </w:tr>
      <w:tr>
        <w:tc>
          <w:tcPr>
            <w:tcW w:type="dxa" w:w="2160"/>
          </w:tcPr>
          <w:p>
            <w:r>
              <w:rPr>
                <w:rFonts w:ascii="Calibri" w:hAnsi="Calibri"/>
                <w:sz w:val="22"/>
              </w:rPr>
              <w:t>Jun 10 (Trough)</w:t>
            </w:r>
          </w:p>
        </w:tc>
        <w:tc>
          <w:tcPr>
            <w:tcW w:type="dxa" w:w="2160"/>
          </w:tcPr>
          <w:p>
            <w:r>
              <w:rPr>
                <w:rFonts w:ascii="Calibri" w:hAnsi="Calibri"/>
                <w:sz w:val="22"/>
              </w:rPr>
              <w:t>76.9</w:t>
            </w:r>
          </w:p>
        </w:tc>
        <w:tc>
          <w:tcPr>
            <w:tcW w:type="dxa" w:w="2160"/>
          </w:tcPr>
          <w:p>
            <w:r>
              <w:rPr>
                <w:rFonts w:ascii="Calibri" w:hAnsi="Calibri"/>
                <w:sz w:val="22"/>
              </w:rPr>
              <w:t>99.2</w:t>
            </w:r>
          </w:p>
        </w:tc>
        <w:tc>
          <w:tcPr>
            <w:tcW w:type="dxa" w:w="2160"/>
          </w:tcPr>
          <w:p>
            <w:r>
              <w:rPr>
                <w:rFonts w:ascii="Calibri" w:hAnsi="Calibri"/>
                <w:sz w:val="22"/>
              </w:rPr>
              <w:t>102.0</w:t>
            </w:r>
          </w:p>
        </w:tc>
      </w:tr>
      <w:tr>
        <w:tc>
          <w:tcPr>
            <w:tcW w:type="dxa" w:w="2160"/>
          </w:tcPr>
          <w:p>
            <w:r>
              <w:rPr>
                <w:rFonts w:ascii="Calibri" w:hAnsi="Calibri"/>
                <w:sz w:val="22"/>
              </w:rPr>
              <w:t>Jun 30 (Peak)</w:t>
            </w:r>
          </w:p>
        </w:tc>
        <w:tc>
          <w:tcPr>
            <w:tcW w:type="dxa" w:w="2160"/>
          </w:tcPr>
          <w:p>
            <w:r>
              <w:rPr>
                <w:rFonts w:ascii="Calibri" w:hAnsi="Calibri"/>
                <w:sz w:val="22"/>
              </w:rPr>
              <w:t>104.2</w:t>
            </w:r>
          </w:p>
        </w:tc>
        <w:tc>
          <w:tcPr>
            <w:tcW w:type="dxa" w:w="2160"/>
          </w:tcPr>
          <w:p>
            <w:r>
              <w:rPr>
                <w:rFonts w:ascii="Calibri" w:hAnsi="Calibri"/>
                <w:sz w:val="22"/>
              </w:rPr>
              <w:t>108.3</w:t>
            </w:r>
          </w:p>
        </w:tc>
        <w:tc>
          <w:tcPr>
            <w:tcW w:type="dxa" w:w="2160"/>
          </w:tcPr>
          <w:p>
            <w:r>
              <w:rPr>
                <w:rFonts w:ascii="Calibri" w:hAnsi="Calibri"/>
                <w:sz w:val="22"/>
              </w:rPr>
              <w:t>105.0</w:t>
            </w:r>
          </w:p>
        </w:tc>
      </w:tr>
      <w:tr>
        <w:tc>
          <w:tcPr>
            <w:tcW w:type="dxa" w:w="2160"/>
          </w:tcPr>
          <w:p>
            <w:r>
              <w:rPr>
                <w:rFonts w:ascii="Calibri" w:hAnsi="Calibri"/>
                <w:sz w:val="22"/>
              </w:rPr>
              <w:t>Jul 21 (Latest)</w:t>
            </w:r>
          </w:p>
        </w:tc>
        <w:tc>
          <w:tcPr>
            <w:tcW w:type="dxa" w:w="2160"/>
          </w:tcPr>
          <w:p>
            <w:r>
              <w:rPr>
                <w:rFonts w:ascii="Calibri" w:hAnsi="Calibri"/>
                <w:sz w:val="22"/>
              </w:rPr>
              <w:t>95.7</w:t>
            </w:r>
          </w:p>
        </w:tc>
        <w:tc>
          <w:tcPr>
            <w:tcW w:type="dxa" w:w="2160"/>
          </w:tcPr>
          <w:p>
            <w:r>
              <w:rPr>
                <w:rFonts w:ascii="Calibri" w:hAnsi="Calibri"/>
                <w:sz w:val="22"/>
              </w:rPr>
              <w:t>104.5</w:t>
            </w:r>
          </w:p>
        </w:tc>
        <w:tc>
          <w:tcPr>
            <w:tcW w:type="dxa" w:w="2160"/>
          </w:tcPr>
          <w:p>
            <w:r>
              <w:rPr>
                <w:rFonts w:ascii="Calibri" w:hAnsi="Calibri"/>
                <w:sz w:val="22"/>
              </w:rPr>
              <w:t>105.2</w:t>
            </w:r>
          </w:p>
        </w:tc>
      </w:tr>
    </w:tbl>
    <w:p>
      <w:r>
        <w:rPr>
          <w:rFonts w:ascii="Calibri" w:hAnsi="Calibri"/>
          <w:i/>
          <w:color w:val="525866"/>
          <w:sz w:val="22"/>
        </w:rPr>
        <w:t>Note: Indexed to 100 at April 22, 2026 close. GEV -4.3% | XLI +4.5% | SPY +5.2% since Q1 earnings. Source: Stock Price Data (Yahoo Finance).</w:t>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 xml:space="preserve">The most important post-Q1 development is the </w:t>
      </w:r>
      <w:r>
        <w:rPr>
          <w:rFonts w:ascii="Calibri" w:hAnsi="Calibri"/>
          <w:b/>
          <w:color w:val="525866"/>
          <w:sz w:val="22"/>
        </w:rPr>
        <w:t>Robotech Automation acquisition</w:t>
      </w:r>
      <w:r>
        <w:rPr>
          <w:rFonts w:ascii="Calibri" w:hAnsi="Calibri"/>
          <w:color w:val="525866"/>
          <w:sz w:val="22"/>
        </w:rPr>
        <w:t xml:space="preserve"> (announced May 21), which accelerates GEV's factory automation roadmap; separately, the </w:t>
      </w:r>
      <w:r>
        <w:rPr>
          <w:rFonts w:ascii="Calibri" w:hAnsi="Calibri"/>
          <w:b/>
          <w:color w:val="525866"/>
          <w:sz w:val="22"/>
        </w:rPr>
        <w:t>PJM capacity auction results</w:t>
      </w:r>
      <w:r>
        <w:rPr>
          <w:rFonts w:ascii="Calibri" w:hAnsi="Calibri"/>
          <w:color w:val="525866"/>
          <w:sz w:val="22"/>
        </w:rPr>
        <w:t xml:space="preserve"> (July 14) confirming 18,875 MW cleared for Constellation at $325/MW validate the structural power demand thesis underpinning GEV's gas turbine backlog.</w:t>
      </w:r>
    </w:p>
    <w:p>
      <w:pPr>
        <w:pStyle w:val="ListBullet"/>
        <w:ind w:left="360" w:hanging="360"/>
      </w:pPr>
      <w:r>
        <w:rPr>
          <w:rFonts w:ascii="Calibri" w:hAnsi="Calibri"/>
          <w:b/>
          <w:color w:val="525866"/>
          <w:sz w:val="22"/>
        </w:rPr>
        <w:t>July 14, 2026 — PJM Capacity Auction Clears at $325/MW:</w:t>
      </w:r>
      <w:r>
        <w:rPr>
          <w:rFonts w:ascii="Calibri" w:hAnsi="Calibri"/>
          <w:color w:val="525866"/>
          <w:sz w:val="22"/>
        </w:rPr>
        <w:t xml:space="preserve"> Constellation Energy secured 18,875 MW in the PJM 2028–2029 capacity auction at $325/MW-day; NRG cleared 6,839 MW. Implication: Elevated capacity prices validate the structural power supply tightness thesis and support continued demand for new gas generation — a direct positive read-through for GEV's gas turbine order pipeline.</w:t>
      </w:r>
    </w:p>
    <w:p>
      <w:pPr>
        <w:pStyle w:val="ListBullet"/>
        <w:ind w:left="360" w:hanging="360"/>
      </w:pPr>
      <w:r>
        <w:rPr>
          <w:rFonts w:ascii="Calibri" w:hAnsi="Calibri"/>
          <w:b/>
          <w:color w:val="525866"/>
          <w:sz w:val="22"/>
        </w:rPr>
        <w:t>May 21, 2026 — Robotech Automation Acquisition Announced:</w:t>
      </w:r>
      <w:r>
        <w:rPr>
          <w:rFonts w:ascii="Calibri" w:hAnsi="Calibri"/>
          <w:color w:val="525866"/>
          <w:sz w:val="22"/>
        </w:rPr>
        <w:t xml:space="preserve"> GEV announced the acquisition of Robotech Automation, a Montreal-based robotics and automation systems integrator (~35 employees). Expected to close Q3 2026. Robotech will focus exclusively on GEV factory automation across eight lighthouse applications, with proof-of-concept through H1 2027 and broad deployment thereafter. Implication: Supports GEV's lean manufacturing and productivity roadmap; small near-term financial impact but strategically important for long-term margin expansion.</w:t>
      </w:r>
    </w:p>
    <w:p>
      <w:pPr>
        <w:pStyle w:val="ListBullet"/>
        <w:ind w:left="360" w:hanging="360"/>
      </w:pPr>
      <w:r>
        <w:rPr>
          <w:rFonts w:ascii="Calibri" w:hAnsi="Calibri"/>
          <w:b/>
          <w:color w:val="525866"/>
          <w:sz w:val="22"/>
        </w:rPr>
        <w:t>April 22, 2026 — Q1 2026 Earnings Beat &amp; Guidance Raise:</w:t>
      </w:r>
      <w:r>
        <w:rPr>
          <w:rFonts w:ascii="Calibri" w:hAnsi="Calibri"/>
          <w:color w:val="525866"/>
          <w:sz w:val="22"/>
        </w:rPr>
        <w:t xml:space="preserve"> Revenue $9.34B (beat), Adj. EBITDA $896M (beat +15.9%), FCF $4.79B (dramatically exceeded full-year 2025 in a single quarter). FY guidance raised across revenue, EBITDA margin, and FCF. Gas power GW under contract reached 100 GW; new target ≥110 GW by year-end. Backlog $163B, $200B target pulled forward to 2027. Implication: Established a high but achievable bar for Q2.</w:t>
      </w:r>
    </w:p>
    <w:p>
      <w:pPr>
        <w:pStyle w:val="ListBullet"/>
        <w:ind w:left="360" w:hanging="360"/>
      </w:pPr>
      <w:r>
        <w:rPr>
          <w:rFonts w:ascii="Calibri" w:hAnsi="Calibri"/>
          <w:b/>
          <w:color w:val="525866"/>
          <w:sz w:val="22"/>
        </w:rPr>
        <w:t>April 22, 2026 — NYSE Earth Day Initiative:</w:t>
      </w:r>
      <w:r>
        <w:rPr>
          <w:rFonts w:ascii="Calibri" w:hAnsi="Calibri"/>
          <w:color w:val="525866"/>
          <w:sz w:val="22"/>
        </w:rPr>
        <w:t xml:space="preserve"> GEV unveiled a new sustainability initiative at NYSE on Earth Day. Implication: Minimal financial impact; brand/ESG positioning.</w:t>
      </w:r>
    </w:p>
    <w:p>
      <w:pPr>
        <w:pStyle w:val="ListBullet"/>
        <w:ind w:left="360" w:hanging="360"/>
      </w:pPr>
      <w:r>
        <w:rPr>
          <w:rFonts w:ascii="Calibri" w:hAnsi="Calibri"/>
          <w:b/>
          <w:color w:val="525866"/>
          <w:sz w:val="22"/>
        </w:rPr>
        <w:t>Ongoing — Prolec GE Integration (Closed February 2026):</w:t>
      </w:r>
      <w:r>
        <w:rPr>
          <w:rFonts w:ascii="Calibri" w:hAnsi="Calibri"/>
          <w:color w:val="525866"/>
          <w:sz w:val="22"/>
        </w:rPr>
        <w:t xml:space="preserve"> Prolec contributed ~$500M revenue at &gt;20% EBITDA margin in Q1; backlog grew to $5B (+~25% since announcement). Lean manufacturing initiatives underway at all acquired factories. Implication: Prolec is a meaningful contributor to Q2 Electrification revenue and margin; integration progress will be a key management talking point.</w:t>
      </w:r>
    </w:p>
    <w:p>
      <w:pPr>
        <w:pStyle w:val="ListBullet"/>
        <w:ind w:left="360" w:hanging="360"/>
      </w:pPr>
      <w:r>
        <w:rPr>
          <w:rFonts w:ascii="Calibri" w:hAnsi="Calibri"/>
          <w:b/>
          <w:color w:val="525866"/>
          <w:sz w:val="22"/>
        </w:rPr>
        <w:t>Ongoing — Offshore Wind Execution (Vineyard Wind &amp; Dogger Bank):</w:t>
      </w:r>
      <w:r>
        <w:rPr>
          <w:rFonts w:ascii="Calibri" w:hAnsi="Calibri"/>
          <w:color w:val="525866"/>
          <w:sz w:val="22"/>
        </w:rPr>
        <w:t xml:space="preserve"> Vineyard Wind and Dogger Bank A installations fully completed in Q1 2026, now in commissioning. Dogger Bank B installation underway. Implication: Offshore execution risk is declining; remaining drag (Dogger Bank B &amp; C) expected through 2027.</w:t>
      </w:r>
    </w:p>
    <w:p>
      <w:pPr>
        <w:pStyle w:val="ListBullet"/>
        <w:ind w:left="360" w:hanging="360"/>
      </w:pPr>
      <w:r>
        <w:rPr>
          <w:rFonts w:ascii="Calibri" w:hAnsi="Calibri"/>
          <w:b/>
          <w:color w:val="525866"/>
          <w:sz w:val="22"/>
        </w:rPr>
        <w:t>Ongoing — SMR/Nuclear Pipeline Building:</w:t>
      </w:r>
      <w:r>
        <w:rPr>
          <w:rFonts w:ascii="Calibri" w:hAnsi="Calibri"/>
          <w:color w:val="525866"/>
          <w:sz w:val="22"/>
        </w:rPr>
        <w:t xml:space="preserve"> Base mat installation beginning at Darlington SMR site in Canada; NRC license to construct for Clinch River (Tennessee) expected H2 2026; US/Japan government announcement of up to $40B for GE Hitachi SMRs. Implication: Nuclear is a sub-$1B revenue business in 2026 but management is building toward a contracted book threshold (~20 units) to reindustrialize the supply chain.</w:t>
      </w:r>
    </w:p>
    <w:p>
      <w:pPr>
        <w:pStyle w:val="ListBullet"/>
        <w:ind w:left="360" w:hanging="360"/>
      </w:pPr>
      <w:r>
        <w:rPr>
          <w:rFonts w:ascii="Calibri" w:hAnsi="Calibri"/>
          <w:b/>
          <w:color w:val="525866"/>
          <w:sz w:val="22"/>
        </w:rPr>
        <w:t>Ongoing — Vietnam LNG-to-Power Market:</w:t>
      </w:r>
      <w:r>
        <w:rPr>
          <w:rFonts w:ascii="Calibri" w:hAnsi="Calibri"/>
          <w:color w:val="525866"/>
          <w:sz w:val="22"/>
        </w:rPr>
        <w:t xml:space="preserve"> First project (Nhon Trach 3&amp;4, 1.6 GW) commissioned January 2026; contracts signed for four additional LNG-to-power projects (~1.6 GW each) in first five months of 2026; new HVDC transformer manufacturing facility announced in Hai Phong, Vietnam. Implication: Vietnam is an emerging high-growth geography for GEV's gas power and grid equipment.</w:t>
      </w:r>
    </w:p>
    <w:p>
      <w:pPr>
        <w:pStyle w:val="Heading2"/>
      </w:pPr>
      <w:r>
        <w:rPr>
          <w:rFonts w:ascii="Calibri" w:hAnsi="Calibri"/>
          <w:b/>
          <w:color w:val="3B4259"/>
          <w:sz w:val="28"/>
        </w:rPr>
        <w:t>Peer Commentary / Read-Throughs — Last 60 Days</w:t>
      </w:r>
    </w:p>
    <w:p>
      <w:r>
        <w:rPr>
          <w:rFonts w:ascii="Calibri" w:hAnsi="Calibri"/>
          <w:b/>
          <w:color w:val="525866"/>
          <w:sz w:val="22"/>
        </w:rPr>
        <w:t xml:space="preserve">Key Takeaway: </w:t>
      </w:r>
      <w:r>
        <w:rPr>
          <w:rFonts w:ascii="Calibri" w:hAnsi="Calibri"/>
          <w:color w:val="525866"/>
          <w:sz w:val="22"/>
        </w:rPr>
        <w:t xml:space="preserve">Post-Q1 commentary from Quanta Services (PWR) and Hubbell (HUBB) provides </w:t>
      </w:r>
      <w:r>
        <w:rPr>
          <w:rFonts w:ascii="Calibri" w:hAnsi="Calibri"/>
          <w:b/>
          <w:color w:val="525866"/>
          <w:sz w:val="22"/>
        </w:rPr>
        <w:t>strongly positive read-throughs</w:t>
      </w:r>
      <w:r>
        <w:rPr>
          <w:rFonts w:ascii="Calibri" w:hAnsi="Calibri"/>
          <w:color w:val="525866"/>
          <w:sz w:val="22"/>
        </w:rPr>
        <w:t xml:space="preserve"> for GEV's Electrification and Power segments — utility CapEx budgets are accelerating at +20% CAGR, transmission and substation demand is exceeding high-single-digit growth, and gas-fired generation inbounds are described as "every bit as robust as data center." These are forward-looking commentaries about current and future demand, not retrospective prior-quarter discussions.</w:t>
      </w:r>
    </w:p>
    <w:p>
      <w:r>
        <w:rPr>
          <w:rFonts w:ascii="Calibri" w:hAnsi="Calibri"/>
          <w:b/>
          <w:color w:val="525866"/>
          <w:sz w:val="22"/>
        </w:rPr>
        <w:t xml:space="preserve">Note on Peer Selection: </w:t>
      </w:r>
      <w:r>
        <w:rPr>
          <w:rFonts w:ascii="Calibri" w:hAnsi="Calibri"/>
          <w:i/>
          <w:color w:val="525866"/>
          <w:sz w:val="22"/>
        </w:rPr>
        <w:t>The following read-throughs are drawn exclusively from post-Q1 2026 commentary (published May–June 2026) that addresses forward demand, current-quarter trends, or the multi-year outlook — consistent with the user's instruction to exclude retrospective peer commentary about prior-quarter results. Siemens Energy (ENR GR), Mitsubishi Heavy (7011 JP), ABB (ABBNY), Vestas (VWSYF), and Nordex (NDX1 GR) are identified as key peers but their most recent earnings transcripts (covering their own prior-quarter results) are excluded per this filter; only forward-looking conference commentary is included.</w:t>
      </w:r>
    </w:p>
    <w:p>
      <w:pPr>
        <w:pStyle w:val="Heading3"/>
      </w:pPr>
      <w:r>
        <w:rPr>
          <w:rFonts w:ascii="Calibri" w:hAnsi="Calibri"/>
          <w:b/>
          <w:color w:val="3B4259"/>
          <w:sz w:val="24"/>
        </w:rPr>
        <w:t>1. Quanta Services (PWR) — Bernstein Strategic Decisions Conference, May 28, 2026</w:t>
      </w:r>
    </w:p>
    <w:p>
      <w:r>
        <w:rPr>
          <w:rFonts w:ascii="Calibri" w:hAnsi="Calibri"/>
          <w:b/>
          <w:color w:val="525866"/>
          <w:sz w:val="22"/>
        </w:rPr>
        <w:t xml:space="preserve">Relevance to GEV: </w:t>
      </w:r>
      <w:r>
        <w:rPr>
          <w:rFonts w:ascii="Calibri" w:hAnsi="Calibri"/>
          <w:color w:val="525866"/>
          <w:sz w:val="22"/>
        </w:rPr>
        <w:t>Quanta is the largest US electrical infrastructure contractor and a direct proxy for grid capex demand, gas-fired generation deployment, and data-center power infrastructure build-out — all core GEV end-markets.</w:t>
      </w:r>
    </w:p>
    <w:p>
      <w:pPr>
        <w:pStyle w:val="ListBullet"/>
        <w:ind w:left="360" w:hanging="360"/>
      </w:pPr>
      <w:r>
        <w:rPr>
          <w:rFonts w:ascii="Calibri" w:hAnsi="Calibri"/>
          <w:b/>
          <w:color w:val="525866"/>
          <w:sz w:val="22"/>
        </w:rPr>
        <w:t>Utility CapEx Acceleration (+20% CAGR):</w:t>
      </w:r>
      <w:r>
        <w:rPr>
          <w:rFonts w:ascii="Calibri" w:hAnsi="Calibri"/>
          <w:color w:val="525866"/>
          <w:sz w:val="22"/>
        </w:rPr>
        <w:t xml:space="preserve"> CEO Earl Austin noted that multi-year utility CapEx budgets are now "growing at like plus 20%" — a dramatic acceleration from the 8–9% CAGR seen just 1–2 years ago. He expects "bigger projects will start to come in, in '27 and really stack on" with "5–7-year build" timelines. </w:t>
      </w:r>
    </w:p>
    <w:p>
      <w:pPr>
        <w:pStyle w:val="ListBullet"/>
        <w:ind w:left="360" w:hanging="360"/>
      </w:pPr>
      <w:r>
        <w:rPr>
          <w:rFonts w:ascii="Calibri" w:hAnsi="Calibri"/>
          <w:b/>
          <w:color w:val="525866"/>
          <w:sz w:val="22"/>
        </w:rPr>
        <w:t>GEV Read-Through:</w:t>
      </w:r>
      <w:r>
        <w:rPr>
          <w:rFonts w:ascii="Calibri" w:hAnsi="Calibri"/>
          <w:color w:val="525866"/>
          <w:sz w:val="22"/>
        </w:rPr>
        <w:t xml:space="preserve"> The +20% utility CapEx acceleration directly validates GEV's electrification backlog growth trajectory ($42B → $60B target by 2027) and supports continued strong order intake in Q2 2026 and beyond.</w:t>
      </w:r>
    </w:p>
    <w:p>
      <w:pPr>
        <w:pStyle w:val="ListBullet"/>
        <w:ind w:left="360" w:hanging="360"/>
      </w:pPr>
      <w:r>
        <w:rPr>
          <w:rFonts w:ascii="Calibri" w:hAnsi="Calibri"/>
          <w:b/>
          <w:color w:val="525866"/>
          <w:sz w:val="22"/>
        </w:rPr>
        <w:t>Gas-Fired Generation Demand as Strong as Data Centers:</w:t>
      </w:r>
      <w:r>
        <w:rPr>
          <w:rFonts w:ascii="Calibri" w:hAnsi="Calibri"/>
          <w:color w:val="525866"/>
          <w:sz w:val="22"/>
        </w:rPr>
        <w:t xml:space="preserve"> Austin stated: "The inbounds on building gas-fired generation are probably every bit as robust as data center or anything else at this point." However, he flagged significant bottlenecks: ordering a combined cycle plant today means "over 30 months" for delivery plus "a couple of years to build it — you're 5 years from today."</w:t>
      </w:r>
    </w:p>
    <w:p>
      <w:pPr>
        <w:pStyle w:val="ListBullet"/>
        <w:ind w:left="360" w:hanging="360"/>
      </w:pPr>
      <w:r>
        <w:rPr>
          <w:rFonts w:ascii="Calibri" w:hAnsi="Calibri"/>
          <w:b/>
          <w:color w:val="525866"/>
          <w:sz w:val="22"/>
        </w:rPr>
        <w:t>GEV Read-Through:</w:t>
      </w:r>
      <w:r>
        <w:rPr>
          <w:rFonts w:ascii="Calibri" w:hAnsi="Calibri"/>
          <w:color w:val="525866"/>
          <w:sz w:val="22"/>
        </w:rPr>
        <w:t xml:space="preserve"> Confirms structural demand for GEV's gas turbines is real and broad-based. The 30–36-month equipment lead time cited by Austin is consistent with GEV's own disclosure that EPC construction capacity — not turbine supply — is the primary deployment constraint. This supports GEV's slot reservation agreement strategy and pricing power.</w:t>
      </w:r>
    </w:p>
    <w:p>
      <w:pPr>
        <w:pStyle w:val="ListBullet"/>
        <w:ind w:left="360" w:hanging="360"/>
      </w:pPr>
      <w:r>
        <w:rPr>
          <w:rFonts w:ascii="Calibri" w:hAnsi="Calibri"/>
          <w:b/>
          <w:color w:val="525866"/>
          <w:sz w:val="22"/>
        </w:rPr>
        <w:t>765 kV Transmission Build-Out:</w:t>
      </w:r>
      <w:r>
        <w:rPr>
          <w:rFonts w:ascii="Calibri" w:hAnsi="Calibri"/>
          <w:color w:val="525866"/>
          <w:sz w:val="22"/>
        </w:rPr>
        <w:t xml:space="preserve"> Austin expects to see "765 [kV] in a meaningful way across North America," describing it as a "different level of construction" requiring significant capital. He cited a "10:1 multiplier" for associated lower-voltage spurlines, which "extends the capital bill."</w:t>
      </w:r>
    </w:p>
    <w:p>
      <w:pPr>
        <w:pStyle w:val="ListBullet"/>
        <w:ind w:left="360" w:hanging="360"/>
      </w:pPr>
      <w:r>
        <w:rPr>
          <w:rFonts w:ascii="Calibri" w:hAnsi="Calibri"/>
          <w:b/>
          <w:color w:val="525866"/>
          <w:sz w:val="22"/>
        </w:rPr>
        <w:t>GEV Read-Through:</w:t>
      </w:r>
      <w:r>
        <w:rPr>
          <w:rFonts w:ascii="Calibri" w:hAnsi="Calibri"/>
          <w:color w:val="525866"/>
          <w:sz w:val="22"/>
        </w:rPr>
        <w:t xml:space="preserve"> A large-scale 765 kV build-out is a multi-decade demand driver for GEV's high-voltage transformer and grid equipment business (including Prolec GE). The 10:1 multiplier effect means each backbone transmission project generates substantial downstream equipment demand.</w:t>
      </w:r>
    </w:p>
    <w:p>
      <w:pPr>
        <w:pStyle w:val="ListBullet"/>
        <w:ind w:left="360" w:hanging="360"/>
      </w:pPr>
      <w:r>
        <w:rPr>
          <w:rFonts w:ascii="Calibri" w:hAnsi="Calibri"/>
          <w:b/>
          <w:color w:val="525866"/>
          <w:sz w:val="22"/>
        </w:rPr>
        <w:t>Data Center Demand — "Once-in-a-Generation Opportunity":</w:t>
      </w:r>
      <w:r>
        <w:rPr>
          <w:rFonts w:ascii="Calibri" w:hAnsi="Calibri"/>
          <w:color w:val="525866"/>
          <w:sz w:val="22"/>
        </w:rPr>
        <w:t xml:space="preserve"> Austin described the current environment as a "once-in-a-generation opportunity," with discussions with large load customers extending "well past 2030." Quanta's CFO noted the technology sector is "absolutely making an impact" and they are "in the early innings."</w:t>
      </w:r>
    </w:p>
    <w:p>
      <w:pPr>
        <w:pStyle w:val="ListBullet"/>
        <w:ind w:left="360" w:hanging="360"/>
      </w:pPr>
      <w:r>
        <w:rPr>
          <w:rFonts w:ascii="Calibri" w:hAnsi="Calibri"/>
          <w:b/>
          <w:color w:val="525866"/>
          <w:sz w:val="22"/>
        </w:rPr>
        <w:t>GEV Read-Through:</w:t>
      </w:r>
      <w:r>
        <w:rPr>
          <w:rFonts w:ascii="Calibri" w:hAnsi="Calibri"/>
          <w:color w:val="525866"/>
          <w:sz w:val="22"/>
        </w:rPr>
        <w:t xml:space="preserve"> Corroborates GEV's own commentary that electrification data-center orders in Q1 2026 alone exceeded all of 2025. The "early innings" framing suggests the demand acceleration is not peaking.</w:t>
      </w:r>
    </w:p>
    <w:p>
      <w:pPr>
        <w:pStyle w:val="ListBullet"/>
        <w:ind w:left="360" w:hanging="360"/>
      </w:pPr>
      <w:r>
        <w:rPr>
          <w:rFonts w:ascii="Calibri" w:hAnsi="Calibri"/>
          <w:b/>
          <w:color w:val="525866"/>
          <w:sz w:val="22"/>
        </w:rPr>
        <w:t>Transmission as Wind Enabler:</w:t>
      </w:r>
      <w:r>
        <w:rPr>
          <w:rFonts w:ascii="Calibri" w:hAnsi="Calibri"/>
          <w:color w:val="525866"/>
          <w:sz w:val="22"/>
        </w:rPr>
        <w:t xml:space="preserve"> Quanta's CFO noted: "As more transmission gets built out, which has been the biggest bottleneck to wind, you'll see more wind coming as well."</w:t>
      </w:r>
    </w:p>
    <w:p>
      <w:pPr>
        <w:pStyle w:val="ListBullet"/>
        <w:ind w:left="360" w:hanging="360"/>
      </w:pPr>
      <w:r>
        <w:rPr>
          <w:rFonts w:ascii="Calibri" w:hAnsi="Calibri"/>
          <w:b/>
          <w:color w:val="525866"/>
          <w:sz w:val="22"/>
        </w:rPr>
        <w:t>GEV Read-Through:</w:t>
      </w:r>
      <w:r>
        <w:rPr>
          <w:rFonts w:ascii="Calibri" w:hAnsi="Calibri"/>
          <w:color w:val="525866"/>
          <w:sz w:val="22"/>
        </w:rPr>
        <w:t xml:space="preserve"> Positive for GEV's Wind segment long-term — transmission build-out unlocks renewable generation projects, supporting future onshore wind equipment demand.</w:t>
      </w:r>
    </w:p>
    <w:p>
      <w:pPr>
        <w:pStyle w:val="Heading3"/>
      </w:pPr>
      <w:r>
        <w:rPr>
          <w:rFonts w:ascii="Calibri" w:hAnsi="Calibri"/>
          <w:b/>
          <w:color w:val="3B4259"/>
          <w:sz w:val="24"/>
        </w:rPr>
        <w:t>2. Hubbell (HUBB) — Wells Fargo Industrials &amp; Materials Conference, June 9, 2026</w:t>
      </w:r>
    </w:p>
    <w:p>
      <w:r>
        <w:rPr>
          <w:rFonts w:ascii="Calibri" w:hAnsi="Calibri"/>
          <w:b/>
          <w:color w:val="525866"/>
          <w:sz w:val="22"/>
        </w:rPr>
        <w:t xml:space="preserve">Relevance to GEV: </w:t>
      </w:r>
      <w:r>
        <w:rPr>
          <w:rFonts w:ascii="Calibri" w:hAnsi="Calibri"/>
          <w:color w:val="525866"/>
          <w:sz w:val="22"/>
        </w:rPr>
        <w:t>Hubbell is a leading US electrical equipment manufacturer serving utility T&amp;D, data centers, and industrial customers — a direct read-through on GEV's Electrification segment demand, pricing environment, and grid automation trends.</w:t>
      </w:r>
    </w:p>
    <w:p>
      <w:pPr>
        <w:pStyle w:val="ListBullet"/>
        <w:ind w:left="360" w:hanging="360"/>
      </w:pPr>
      <w:r>
        <w:rPr>
          <w:rFonts w:ascii="Calibri" w:hAnsi="Calibri"/>
          <w:b/>
          <w:color w:val="525866"/>
          <w:sz w:val="22"/>
        </w:rPr>
        <w:t>Transmission &amp; Substation Growth Exceeding High-Single Digits:</w:t>
      </w:r>
      <w:r>
        <w:rPr>
          <w:rFonts w:ascii="Calibri" w:hAnsi="Calibri"/>
          <w:color w:val="525866"/>
          <w:sz w:val="22"/>
        </w:rPr>
        <w:t xml:space="preserve"> CEO Gerben Bakker stated Hubbell sees "growth rates exceeding those high-single digits as we're realizing right now" in transmission and substation, driven by "load growth and interconnect" on top of the long-term "grid hardening" trend. Order rates and backlog are "very supportive." Hubbell is "investing in this part of the business pretty aggressively."</w:t>
      </w:r>
    </w:p>
    <w:p>
      <w:pPr>
        <w:pStyle w:val="ListBullet"/>
        <w:ind w:left="360" w:hanging="360"/>
      </w:pPr>
      <w:r>
        <w:rPr>
          <w:rFonts w:ascii="Calibri" w:hAnsi="Calibri"/>
          <w:b/>
          <w:color w:val="525866"/>
          <w:sz w:val="22"/>
        </w:rPr>
        <w:t>GEV Read-Through:</w:t>
      </w:r>
      <w:r>
        <w:rPr>
          <w:rFonts w:ascii="Calibri" w:hAnsi="Calibri"/>
          <w:color w:val="525866"/>
          <w:sz w:val="22"/>
        </w:rPr>
        <w:t xml:space="preserve"> Directly validates GEV's electrification backlog growth and supports the thesis that Q2 2026 electrification orders will remain strong. Hubbell's aggressive capacity investment signals industry-wide supply tightness — a read-through on GEV's pricing power.</w:t>
      </w:r>
    </w:p>
    <w:p>
      <w:pPr>
        <w:pStyle w:val="ListBullet"/>
        <w:ind w:left="360" w:hanging="360"/>
      </w:pPr>
      <w:r>
        <w:rPr>
          <w:rFonts w:ascii="Calibri" w:hAnsi="Calibri"/>
          <w:b/>
          <w:color w:val="525866"/>
          <w:sz w:val="22"/>
        </w:rPr>
        <w:t>765 kV First Large-Scale Award:</w:t>
      </w:r>
      <w:r>
        <w:rPr>
          <w:rFonts w:ascii="Calibri" w:hAnsi="Calibri"/>
          <w:color w:val="525866"/>
          <w:sz w:val="22"/>
        </w:rPr>
        <w:t xml:space="preserve"> Hubbell was awarded the "first fairly large-scale 765 kV" project earlier in 2026, with shipments expected to "start shipping in the early part of next year" (2027). Hubbell sized this as a "$1.5 billion sort of 10-year market opportunity" that could "add a point of growth" to their already-guided rates.</w:t>
      </w:r>
    </w:p>
    <w:p>
      <w:pPr>
        <w:pStyle w:val="ListBullet"/>
        <w:ind w:left="360" w:hanging="360"/>
      </w:pPr>
      <w:r>
        <w:rPr>
          <w:rFonts w:ascii="Calibri" w:hAnsi="Calibri"/>
          <w:b/>
          <w:color w:val="525866"/>
          <w:sz w:val="22"/>
        </w:rPr>
        <w:t>GEV Read-Through:</w:t>
      </w:r>
      <w:r>
        <w:rPr>
          <w:rFonts w:ascii="Calibri" w:hAnsi="Calibri"/>
          <w:color w:val="525866"/>
          <w:sz w:val="22"/>
        </w:rPr>
        <w:t xml:space="preserve"> The first large-scale 765 kV award confirms the market is transitioning from planning to execution. GEV's Prolec GE acquisition (transformers) and grid systems integration capabilities position it to capture a significant share of this emerging high-voltage market.</w:t>
      </w:r>
    </w:p>
    <w:p>
      <w:pPr>
        <w:pStyle w:val="ListBullet"/>
        <w:ind w:left="360" w:hanging="360"/>
      </w:pPr>
      <w:r>
        <w:rPr>
          <w:rFonts w:ascii="Calibri" w:hAnsi="Calibri"/>
          <w:b/>
          <w:color w:val="525866"/>
          <w:sz w:val="22"/>
        </w:rPr>
        <w:t>Data Centers Driving Utility T&amp;S Spend:</w:t>
      </w:r>
      <w:r>
        <w:rPr>
          <w:rFonts w:ascii="Calibri" w:hAnsi="Calibri"/>
          <w:color w:val="525866"/>
          <w:sz w:val="22"/>
        </w:rPr>
        <w:t xml:space="preserve"> Bakker noted that "a lot of the transmission and substation work that's happening there is — even if it's utility work that's happening — it's to support those data centers." About 10% of Hubbell's electrical revenues come from data centers directly, with a larger indirect exposure through utility T&amp;S.</w:t>
      </w:r>
    </w:p>
    <w:p>
      <w:pPr>
        <w:pStyle w:val="ListBullet"/>
        <w:ind w:left="360" w:hanging="360"/>
      </w:pPr>
      <w:r>
        <w:rPr>
          <w:rFonts w:ascii="Calibri" w:hAnsi="Calibri"/>
          <w:b/>
          <w:color w:val="525866"/>
          <w:sz w:val="22"/>
        </w:rPr>
        <w:t>GEV Read-Through:</w:t>
      </w:r>
      <w:r>
        <w:rPr>
          <w:rFonts w:ascii="Calibri" w:hAnsi="Calibri"/>
          <w:color w:val="525866"/>
          <w:sz w:val="22"/>
        </w:rPr>
        <w:t xml:space="preserve"> Confirms that data-center-driven grid investment is flowing through utility capex budgets — the same dynamic GEV is capturing in its electrification backlog. The indirect utility channel is larger than the direct data-center channel, consistent with GEV's integrated power-plus-grid value proposition.</w:t>
      </w:r>
    </w:p>
    <w:p>
      <w:pPr>
        <w:pStyle w:val="ListBullet"/>
        <w:ind w:left="360" w:hanging="360"/>
      </w:pPr>
      <w:r>
        <w:rPr>
          <w:rFonts w:ascii="Calibri" w:hAnsi="Calibri"/>
          <w:b/>
          <w:color w:val="525866"/>
          <w:sz w:val="22"/>
        </w:rPr>
        <w:t>Pricing Power Intact — Margins Expanding:</w:t>
      </w:r>
      <w:r>
        <w:rPr>
          <w:rFonts w:ascii="Calibri" w:hAnsi="Calibri"/>
          <w:color w:val="525866"/>
          <w:sz w:val="22"/>
        </w:rPr>
        <w:t xml:space="preserve"> Hubbell implemented price increases "earlier this year" (some effective April 2026) and is maintaining a "price cost productivity neutral or better" posture, with a track record of "actually expand[ing] margins" over the cycle despite inflation.</w:t>
      </w:r>
    </w:p>
    <w:p>
      <w:pPr>
        <w:pStyle w:val="ListBullet"/>
        <w:ind w:left="360" w:hanging="360"/>
      </w:pPr>
      <w:r>
        <w:rPr>
          <w:rFonts w:ascii="Calibri" w:hAnsi="Calibri"/>
          <w:b/>
          <w:color w:val="525866"/>
          <w:sz w:val="22"/>
        </w:rPr>
        <w:t>GEV Read-Through:</w:t>
      </w:r>
      <w:r>
        <w:rPr>
          <w:rFonts w:ascii="Calibri" w:hAnsi="Calibri"/>
          <w:color w:val="525866"/>
          <w:sz w:val="22"/>
        </w:rPr>
        <w:t xml:space="preserve"> Sector-wide pricing power is holding, supporting GEV's own margin expansion narrative. If Hubbell can expand margins in this environment, GEV's 17–19% Power EBITDA margin and 18–20% Electrification EBITDA margin guidance is credible.</w:t>
      </w:r>
    </w:p>
    <w:p>
      <w:pPr>
        <w:pStyle w:val="ListBullet"/>
        <w:ind w:left="360" w:hanging="360"/>
      </w:pPr>
      <w:r>
        <w:rPr>
          <w:rFonts w:ascii="Calibri" w:hAnsi="Calibri"/>
          <w:b/>
          <w:color w:val="525866"/>
          <w:sz w:val="22"/>
        </w:rPr>
        <w:t>Grid Automation Returning to Growth in Q2 2026:</w:t>
      </w:r>
      <w:r>
        <w:rPr>
          <w:rFonts w:ascii="Calibri" w:hAnsi="Calibri"/>
          <w:color w:val="525866"/>
          <w:sz w:val="22"/>
        </w:rPr>
        <w:t xml:space="preserve"> Hubbell's grid automation business is expected to "return to slight growth here in second quarter after some periods of decline," with grid protection and controls "growing high-single digits" and new products serving data centers "doing really well."</w:t>
      </w:r>
    </w:p>
    <w:p>
      <w:pPr>
        <w:pStyle w:val="ListBullet"/>
        <w:ind w:left="360" w:hanging="360"/>
      </w:pPr>
      <w:r>
        <w:rPr>
          <w:rFonts w:ascii="Calibri" w:hAnsi="Calibri"/>
          <w:b/>
          <w:color w:val="525866"/>
          <w:sz w:val="22"/>
        </w:rPr>
        <w:t>GEV Read-Through:</w:t>
      </w:r>
      <w:r>
        <w:rPr>
          <w:rFonts w:ascii="Calibri" w:hAnsi="Calibri"/>
          <w:color w:val="525866"/>
          <w:sz w:val="22"/>
        </w:rPr>
        <w:t xml:space="preserve"> Grid automation recovery is a positive signal for GEV's Grid Automation &amp; Software sub-segment within Electrification. The high-single-digit growth in grid protection and controls is consistent with GEV's EMS (energy management system) product gaining traction.</w:t>
      </w:r>
    </w:p>
    <w:p>
      <w:pPr>
        <w:pStyle w:val="ListBullet"/>
        <w:ind w:left="360" w:hanging="360"/>
      </w:pPr>
      <w:r>
        <w:rPr>
          <w:rFonts w:ascii="Calibri" w:hAnsi="Calibri"/>
          <w:b/>
          <w:color w:val="525866"/>
          <w:sz w:val="22"/>
        </w:rPr>
        <w:t>NSI Acquisition (Hubbell) — Competitive Landscape:</w:t>
      </w:r>
      <w:r>
        <w:rPr>
          <w:rFonts w:ascii="Calibri" w:hAnsi="Calibri"/>
          <w:color w:val="525866"/>
          <w:sz w:val="22"/>
        </w:rPr>
        <w:t xml:space="preserve"> Hubbell's $3B NSI acquisition (expected to close mid-2026) is margin and earnings accretive, adding data-center exposure. Implication for GEV: Hubbell is consolidating in GEV's addressable market, which could intensify competition in certain grid equipment sub-segments but also validates the attractiveness of the space.</w:t>
      </w:r>
    </w:p>
    <w:p>
      <w:pPr>
        <w:pStyle w:val="Heading3"/>
      </w:pPr>
      <w:r>
        <w:rPr>
          <w:rFonts w:ascii="Calibri" w:hAnsi="Calibri"/>
          <w:b/>
          <w:color w:val="3B4259"/>
          <w:sz w:val="24"/>
        </w:rPr>
        <w:t>Peer Read-Through Summary Matrix</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Source / Date</w:t>
            </w:r>
          </w:p>
        </w:tc>
        <w:tc>
          <w:tcPr>
            <w:tcW w:type="dxa" w:w="1728"/>
            <w:shd w:val="clear" w:color="auto" w:fill="3B4259"/>
          </w:tcPr>
          <w:p>
            <w:r>
              <w:rPr>
                <w:rFonts w:ascii="Calibri" w:hAnsi="Calibri"/>
                <w:b/>
                <w:color w:val="FFFFFF"/>
                <w:sz w:val="22"/>
              </w:rPr>
              <w:t>Key Signal</w:t>
            </w:r>
          </w:p>
        </w:tc>
        <w:tc>
          <w:tcPr>
            <w:tcW w:type="dxa" w:w="1728"/>
            <w:shd w:val="clear" w:color="auto" w:fill="3B4259"/>
          </w:tcPr>
          <w:p>
            <w:r>
              <w:rPr>
                <w:rFonts w:ascii="Calibri" w:hAnsi="Calibri"/>
                <w:b/>
                <w:color w:val="FFFFFF"/>
                <w:sz w:val="22"/>
              </w:rPr>
              <w:t>GEV Segment Impacted</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Quanta Services (PWR)</w:t>
            </w:r>
          </w:p>
        </w:tc>
        <w:tc>
          <w:tcPr>
            <w:tcW w:type="dxa" w:w="1728"/>
          </w:tcPr>
          <w:p>
            <w:r>
              <w:rPr>
                <w:rFonts w:ascii="Calibri" w:hAnsi="Calibri"/>
                <w:sz w:val="22"/>
              </w:rPr>
              <w:t>Bernstein Conference, May 28, 2026</w:t>
            </w:r>
          </w:p>
        </w:tc>
        <w:tc>
          <w:tcPr>
            <w:tcW w:type="dxa" w:w="1728"/>
          </w:tcPr>
          <w:p>
            <w:r>
              <w:rPr>
                <w:rFonts w:ascii="Calibri" w:hAnsi="Calibri"/>
                <w:sz w:val="22"/>
              </w:rPr>
              <w:t>Utility CapEx budgets growing +20% CAGR; gas-fired generation inbounds "every bit as robust as data center"</w:t>
            </w:r>
          </w:p>
        </w:tc>
        <w:tc>
          <w:tcPr>
            <w:tcW w:type="dxa" w:w="1728"/>
          </w:tcPr>
          <w:p>
            <w:r>
              <w:rPr>
                <w:rFonts w:ascii="Calibri" w:hAnsi="Calibri"/>
                <w:sz w:val="22"/>
              </w:rPr>
              <w:t>Power, Electrification</w:t>
            </w:r>
          </w:p>
        </w:tc>
        <w:tc>
          <w:tcPr>
            <w:tcW w:type="dxa" w:w="1728"/>
          </w:tcPr>
          <w:p>
            <w:r>
              <w:rPr>
                <w:rFonts w:ascii="Calibri" w:hAnsi="Calibri"/>
                <w:b/>
                <w:color w:val="30A46C"/>
                <w:sz w:val="22"/>
              </w:rPr>
              <w:t>Positive</w:t>
            </w:r>
          </w:p>
        </w:tc>
      </w:tr>
      <w:tr>
        <w:tc>
          <w:tcPr>
            <w:tcW w:type="dxa" w:w="1728"/>
          </w:tcPr>
          <w:p>
            <w:r>
              <w:rPr>
                <w:rFonts w:ascii="Calibri" w:hAnsi="Calibri"/>
                <w:sz w:val="22"/>
              </w:rPr>
              <w:t>Quanta Services (PWR)</w:t>
            </w:r>
          </w:p>
        </w:tc>
        <w:tc>
          <w:tcPr>
            <w:tcW w:type="dxa" w:w="1728"/>
          </w:tcPr>
          <w:p>
            <w:r>
              <w:rPr>
                <w:rFonts w:ascii="Calibri" w:hAnsi="Calibri"/>
                <w:sz w:val="22"/>
              </w:rPr>
              <w:t>Bernstein Conference, May 28, 2026</w:t>
            </w:r>
          </w:p>
        </w:tc>
        <w:tc>
          <w:tcPr>
            <w:tcW w:type="dxa" w:w="1728"/>
          </w:tcPr>
          <w:p>
            <w:r>
              <w:rPr>
                <w:rFonts w:ascii="Calibri" w:hAnsi="Calibri"/>
                <w:sz w:val="22"/>
              </w:rPr>
              <w:t>765 kV build-out expected "in a meaningful way across North America"; 10:1 spurline multiplier</w:t>
            </w:r>
          </w:p>
        </w:tc>
        <w:tc>
          <w:tcPr>
            <w:tcW w:type="dxa" w:w="1728"/>
          </w:tcPr>
          <w:p>
            <w:r>
              <w:rPr>
                <w:rFonts w:ascii="Calibri" w:hAnsi="Calibri"/>
                <w:sz w:val="22"/>
              </w:rPr>
              <w:t>Electrification (Grid)</w:t>
            </w:r>
          </w:p>
        </w:tc>
        <w:tc>
          <w:tcPr>
            <w:tcW w:type="dxa" w:w="1728"/>
          </w:tcPr>
          <w:p>
            <w:r>
              <w:rPr>
                <w:rFonts w:ascii="Calibri" w:hAnsi="Calibri"/>
                <w:b/>
                <w:color w:val="30A46C"/>
                <w:sz w:val="22"/>
              </w:rPr>
              <w:t>Positive</w:t>
            </w:r>
          </w:p>
        </w:tc>
      </w:tr>
      <w:tr>
        <w:tc>
          <w:tcPr>
            <w:tcW w:type="dxa" w:w="1728"/>
          </w:tcPr>
          <w:p>
            <w:r>
              <w:rPr>
                <w:rFonts w:ascii="Calibri" w:hAnsi="Calibri"/>
                <w:sz w:val="22"/>
              </w:rPr>
              <w:t>Quanta Services (PWR)</w:t>
            </w:r>
          </w:p>
        </w:tc>
        <w:tc>
          <w:tcPr>
            <w:tcW w:type="dxa" w:w="1728"/>
          </w:tcPr>
          <w:p>
            <w:r>
              <w:rPr>
                <w:rFonts w:ascii="Calibri" w:hAnsi="Calibri"/>
                <w:sz w:val="22"/>
              </w:rPr>
              <w:t>Bernstein Conference, May 28, 2026</w:t>
            </w:r>
          </w:p>
        </w:tc>
        <w:tc>
          <w:tcPr>
            <w:tcW w:type="dxa" w:w="1728"/>
          </w:tcPr>
          <w:p>
            <w:r>
              <w:rPr>
                <w:rFonts w:ascii="Calibri" w:hAnsi="Calibri"/>
                <w:sz w:val="22"/>
              </w:rPr>
              <w:t>Gas plant lead times 30–36 months + 2 years construction = 5 years from order to operation; EPC capacity is the bottleneck</w:t>
            </w:r>
          </w:p>
        </w:tc>
        <w:tc>
          <w:tcPr>
            <w:tcW w:type="dxa" w:w="1728"/>
          </w:tcPr>
          <w:p>
            <w:r>
              <w:rPr>
                <w:rFonts w:ascii="Calibri" w:hAnsi="Calibri"/>
                <w:sz w:val="22"/>
              </w:rPr>
              <w:t>Power (Gas Turbines)</w:t>
            </w:r>
          </w:p>
        </w:tc>
        <w:tc>
          <w:tcPr>
            <w:tcW w:type="dxa" w:w="1728"/>
          </w:tcPr>
          <w:p>
            <w:r>
              <w:rPr>
                <w:rFonts w:ascii="Calibri" w:hAnsi="Calibri"/>
                <w:b/>
                <w:color w:val="30A46C"/>
                <w:sz w:val="22"/>
              </w:rPr>
              <w:t>Validates GEV's SRA strategy</w:t>
            </w:r>
          </w:p>
        </w:tc>
      </w:tr>
      <w:tr>
        <w:tc>
          <w:tcPr>
            <w:tcW w:type="dxa" w:w="1728"/>
          </w:tcPr>
          <w:p>
            <w:r>
              <w:rPr>
                <w:rFonts w:ascii="Calibri" w:hAnsi="Calibri"/>
                <w:sz w:val="22"/>
              </w:rPr>
              <w:t>Hubbell (HUBB)</w:t>
            </w:r>
          </w:p>
        </w:tc>
        <w:tc>
          <w:tcPr>
            <w:tcW w:type="dxa" w:w="1728"/>
          </w:tcPr>
          <w:p>
            <w:r>
              <w:rPr>
                <w:rFonts w:ascii="Calibri" w:hAnsi="Calibri"/>
                <w:sz w:val="22"/>
              </w:rPr>
              <w:t>Wells Fargo Conference, June 9, 2026</w:t>
            </w:r>
          </w:p>
        </w:tc>
        <w:tc>
          <w:tcPr>
            <w:tcW w:type="dxa" w:w="1728"/>
          </w:tcPr>
          <w:p>
            <w:r>
              <w:rPr>
                <w:rFonts w:ascii="Calibri" w:hAnsi="Calibri"/>
                <w:sz w:val="22"/>
              </w:rPr>
              <w:t>T&amp;S growth exceeding high-single digits; order rates and backlog "very supportive"; aggressive capacity investment</w:t>
            </w:r>
          </w:p>
        </w:tc>
        <w:tc>
          <w:tcPr>
            <w:tcW w:type="dxa" w:w="1728"/>
          </w:tcPr>
          <w:p>
            <w:r>
              <w:rPr>
                <w:rFonts w:ascii="Calibri" w:hAnsi="Calibri"/>
                <w:sz w:val="22"/>
              </w:rPr>
              <w:t>Electrification</w:t>
            </w:r>
          </w:p>
        </w:tc>
        <w:tc>
          <w:tcPr>
            <w:tcW w:type="dxa" w:w="1728"/>
          </w:tcPr>
          <w:p>
            <w:r>
              <w:rPr>
                <w:rFonts w:ascii="Calibri" w:hAnsi="Calibri"/>
                <w:b/>
                <w:color w:val="30A46C"/>
                <w:sz w:val="22"/>
              </w:rPr>
              <w:t>Positive</w:t>
            </w:r>
          </w:p>
        </w:tc>
      </w:tr>
      <w:tr>
        <w:tc>
          <w:tcPr>
            <w:tcW w:type="dxa" w:w="1728"/>
          </w:tcPr>
          <w:p>
            <w:r>
              <w:rPr>
                <w:rFonts w:ascii="Calibri" w:hAnsi="Calibri"/>
                <w:sz w:val="22"/>
              </w:rPr>
              <w:t>Hubbell (HUBB)</w:t>
            </w:r>
          </w:p>
        </w:tc>
        <w:tc>
          <w:tcPr>
            <w:tcW w:type="dxa" w:w="1728"/>
          </w:tcPr>
          <w:p>
            <w:r>
              <w:rPr>
                <w:rFonts w:ascii="Calibri" w:hAnsi="Calibri"/>
                <w:sz w:val="22"/>
              </w:rPr>
              <w:t>Wells Fargo Conference, June 9, 2026</w:t>
            </w:r>
          </w:p>
        </w:tc>
        <w:tc>
          <w:tcPr>
            <w:tcW w:type="dxa" w:w="1728"/>
          </w:tcPr>
          <w:p>
            <w:r>
              <w:rPr>
                <w:rFonts w:ascii="Calibri" w:hAnsi="Calibri"/>
                <w:sz w:val="22"/>
              </w:rPr>
              <w:t>First large-scale 765 kV project awarded; $1.5B 10-year market opportunity; shipments start early 2027</w:t>
            </w:r>
          </w:p>
        </w:tc>
        <w:tc>
          <w:tcPr>
            <w:tcW w:type="dxa" w:w="1728"/>
          </w:tcPr>
          <w:p>
            <w:r>
              <w:rPr>
                <w:rFonts w:ascii="Calibri" w:hAnsi="Calibri"/>
                <w:sz w:val="22"/>
              </w:rPr>
              <w:t>Electrification (Prolec GE)</w:t>
            </w:r>
          </w:p>
        </w:tc>
        <w:tc>
          <w:tcPr>
            <w:tcW w:type="dxa" w:w="1728"/>
          </w:tcPr>
          <w:p>
            <w:r>
              <w:rPr>
                <w:rFonts w:ascii="Calibri" w:hAnsi="Calibri"/>
                <w:b/>
                <w:color w:val="30A46C"/>
                <w:sz w:val="22"/>
              </w:rPr>
              <w:t>Positive</w:t>
            </w:r>
          </w:p>
        </w:tc>
      </w:tr>
      <w:tr>
        <w:tc>
          <w:tcPr>
            <w:tcW w:type="dxa" w:w="1728"/>
          </w:tcPr>
          <w:p>
            <w:r>
              <w:rPr>
                <w:rFonts w:ascii="Calibri" w:hAnsi="Calibri"/>
                <w:sz w:val="22"/>
              </w:rPr>
              <w:t>Hubbell (HUBB)</w:t>
            </w:r>
          </w:p>
        </w:tc>
        <w:tc>
          <w:tcPr>
            <w:tcW w:type="dxa" w:w="1728"/>
          </w:tcPr>
          <w:p>
            <w:r>
              <w:rPr>
                <w:rFonts w:ascii="Calibri" w:hAnsi="Calibri"/>
                <w:sz w:val="22"/>
              </w:rPr>
              <w:t>Wells Fargo Conference, June 9, 2026</w:t>
            </w:r>
          </w:p>
        </w:tc>
        <w:tc>
          <w:tcPr>
            <w:tcW w:type="dxa" w:w="1728"/>
          </w:tcPr>
          <w:p>
            <w:r>
              <w:rPr>
                <w:rFonts w:ascii="Calibri" w:hAnsi="Calibri"/>
                <w:sz w:val="22"/>
              </w:rPr>
              <w:t>Pricing power intact; price increases effective April 2026; margins expanding despite inflation</w:t>
            </w:r>
          </w:p>
        </w:tc>
        <w:tc>
          <w:tcPr>
            <w:tcW w:type="dxa" w:w="1728"/>
          </w:tcPr>
          <w:p>
            <w:r>
              <w:rPr>
                <w:rFonts w:ascii="Calibri" w:hAnsi="Calibri"/>
                <w:sz w:val="22"/>
              </w:rPr>
              <w:t>All Segments</w:t>
            </w:r>
          </w:p>
        </w:tc>
        <w:tc>
          <w:tcPr>
            <w:tcW w:type="dxa" w:w="1728"/>
          </w:tcPr>
          <w:p>
            <w:r>
              <w:rPr>
                <w:rFonts w:ascii="Calibri" w:hAnsi="Calibri"/>
                <w:b/>
                <w:color w:val="30A46C"/>
                <w:sz w:val="22"/>
              </w:rPr>
              <w:t>Positive</w:t>
            </w:r>
          </w:p>
        </w:tc>
      </w:tr>
      <w:tr>
        <w:tc>
          <w:tcPr>
            <w:tcW w:type="dxa" w:w="1728"/>
          </w:tcPr>
          <w:p>
            <w:r>
              <w:rPr>
                <w:rFonts w:ascii="Calibri" w:hAnsi="Calibri"/>
                <w:sz w:val="22"/>
              </w:rPr>
              <w:t>Hubbell (HUBB)</w:t>
            </w:r>
          </w:p>
        </w:tc>
        <w:tc>
          <w:tcPr>
            <w:tcW w:type="dxa" w:w="1728"/>
          </w:tcPr>
          <w:p>
            <w:r>
              <w:rPr>
                <w:rFonts w:ascii="Calibri" w:hAnsi="Calibri"/>
                <w:sz w:val="22"/>
              </w:rPr>
              <w:t>Wells Fargo Conference, June 9, 2026</w:t>
            </w:r>
          </w:p>
        </w:tc>
        <w:tc>
          <w:tcPr>
            <w:tcW w:type="dxa" w:w="1728"/>
          </w:tcPr>
          <w:p>
            <w:r>
              <w:rPr>
                <w:rFonts w:ascii="Calibri" w:hAnsi="Calibri"/>
                <w:sz w:val="22"/>
              </w:rPr>
              <w:t>Grid automation returning to slight growth in Q2 2026; grid protection &amp; controls growing high-single digits</w:t>
            </w:r>
          </w:p>
        </w:tc>
        <w:tc>
          <w:tcPr>
            <w:tcW w:type="dxa" w:w="1728"/>
          </w:tcPr>
          <w:p>
            <w:r>
              <w:rPr>
                <w:rFonts w:ascii="Calibri" w:hAnsi="Calibri"/>
                <w:sz w:val="22"/>
              </w:rPr>
              <w:t>Electrification (Grid Automation)</w:t>
            </w:r>
          </w:p>
        </w:tc>
        <w:tc>
          <w:tcPr>
            <w:tcW w:type="dxa" w:w="1728"/>
          </w:tcPr>
          <w:p>
            <w:r>
              <w:rPr>
                <w:rFonts w:ascii="Calibri" w:hAnsi="Calibri"/>
                <w:b/>
                <w:color w:val="30A46C"/>
                <w:sz w:val="22"/>
              </w:rPr>
              <w:t>Positive</w:t>
            </w:r>
          </w:p>
        </w:tc>
      </w:tr>
    </w:tbl>
    <w:p>
      <w:r>
        <w:rPr>
          <w:rFonts w:ascii="Calibri" w:hAnsi="Calibri"/>
          <w:i/>
          <w:color w:val="525866"/>
          <w:sz w:val="22"/>
        </w:rPr>
        <w:t>Sources: Quanta Services Bernstein Strategic Decisions Conference transcript (May 28, 2026); Hubbell Wells Fargo Industrials &amp; Materials Conference transcript (June 9, 2026).</w:t>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 xml:space="preserve">Two open-market sales by mid-level executives (Wind CEO and Chief Accounting Officer) since Q1 earnings — </w:t>
      </w:r>
      <w:r>
        <w:rPr>
          <w:rFonts w:ascii="Calibri" w:hAnsi="Calibri"/>
          <w:b/>
          <w:color w:val="525866"/>
          <w:sz w:val="22"/>
        </w:rPr>
        <w:t>no discretionary buys and no unusual sale size</w:t>
      </w:r>
      <w:r>
        <w:rPr>
          <w:rFonts w:ascii="Calibri" w:hAnsi="Calibri"/>
          <w:color w:val="525866"/>
          <w:sz w:val="22"/>
        </w:rPr>
        <w:t>; both appear routine and do not constitute a meaningful insider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Victor Abate</w:t>
            </w:r>
          </w:p>
        </w:tc>
        <w:tc>
          <w:tcPr>
            <w:tcW w:type="dxa" w:w="1440"/>
          </w:tcPr>
          <w:p>
            <w:r>
              <w:rPr>
                <w:rFonts w:ascii="Calibri" w:hAnsi="Calibri"/>
                <w:sz w:val="22"/>
              </w:rPr>
              <w:t>CEO, Wind</w:t>
            </w:r>
          </w:p>
        </w:tc>
        <w:tc>
          <w:tcPr>
            <w:tcW w:type="dxa" w:w="1440"/>
          </w:tcPr>
          <w:p>
            <w:r>
              <w:rPr>
                <w:rFonts w:ascii="Calibri" w:hAnsi="Calibri"/>
                <w:sz w:val="22"/>
              </w:rPr>
              <w:t>Open Market Sale</w:t>
            </w:r>
          </w:p>
        </w:tc>
        <w:tc>
          <w:tcPr>
            <w:tcW w:type="dxa" w:w="1440"/>
          </w:tcPr>
          <w:p>
            <w:r>
              <w:rPr>
                <w:rFonts w:ascii="Calibri" w:hAnsi="Calibri"/>
                <w:sz w:val="22"/>
              </w:rPr>
              <w:t>4,819 shares</w:t>
            </w:r>
          </w:p>
        </w:tc>
        <w:tc>
          <w:tcPr>
            <w:tcW w:type="dxa" w:w="1440"/>
          </w:tcPr>
          <w:p>
            <w:r>
              <w:rPr>
                <w:rFonts w:ascii="Calibri" w:hAnsi="Calibri"/>
                <w:sz w:val="22"/>
              </w:rPr>
              <w:t>Jun 1, 2026</w:t>
            </w:r>
          </w:p>
        </w:tc>
        <w:tc>
          <w:tcPr>
            <w:tcW w:type="dxa" w:w="1440"/>
          </w:tcPr>
          <w:p>
            <w:r>
              <w:rPr>
                <w:rFonts w:ascii="Calibri" w:hAnsi="Calibri"/>
                <w:sz w:val="22"/>
              </w:rPr>
              <w:t>Discretionary sale; no 10b5-1 plan indicated. Sold ~72% of position (1,835 shares remaining). Routine in size for a segment CEO.</w:t>
            </w:r>
          </w:p>
        </w:tc>
      </w:tr>
      <w:tr>
        <w:tc>
          <w:tcPr>
            <w:tcW w:type="dxa" w:w="1440"/>
          </w:tcPr>
          <w:p>
            <w:r>
              <w:rPr>
                <w:rFonts w:ascii="Calibri" w:hAnsi="Calibri"/>
                <w:sz w:val="22"/>
              </w:rPr>
              <w:t>Matthew Joseph Potvin</w:t>
            </w:r>
          </w:p>
        </w:tc>
        <w:tc>
          <w:tcPr>
            <w:tcW w:type="dxa" w:w="1440"/>
          </w:tcPr>
          <w:p>
            <w:r>
              <w:rPr>
                <w:rFonts w:ascii="Calibri" w:hAnsi="Calibri"/>
                <w:sz w:val="22"/>
              </w:rPr>
              <w:t>Chief Accounting Officer</w:t>
            </w:r>
          </w:p>
        </w:tc>
        <w:tc>
          <w:tcPr>
            <w:tcW w:type="dxa" w:w="1440"/>
          </w:tcPr>
          <w:p>
            <w:r>
              <w:rPr>
                <w:rFonts w:ascii="Calibri" w:hAnsi="Calibri"/>
                <w:sz w:val="22"/>
              </w:rPr>
              <w:t>Open Market Sale</w:t>
            </w:r>
          </w:p>
        </w:tc>
        <w:tc>
          <w:tcPr>
            <w:tcW w:type="dxa" w:w="1440"/>
          </w:tcPr>
          <w:p>
            <w:r>
              <w:rPr>
                <w:rFonts w:ascii="Calibri" w:hAnsi="Calibri"/>
                <w:sz w:val="22"/>
              </w:rPr>
              <w:t>2,333 shares</w:t>
            </w:r>
          </w:p>
        </w:tc>
        <w:tc>
          <w:tcPr>
            <w:tcW w:type="dxa" w:w="1440"/>
          </w:tcPr>
          <w:p>
            <w:r>
              <w:rPr>
                <w:rFonts w:ascii="Calibri" w:hAnsi="Calibri"/>
                <w:sz w:val="22"/>
              </w:rPr>
              <w:t>May 14, 2026</w:t>
            </w:r>
          </w:p>
        </w:tc>
        <w:tc>
          <w:tcPr>
            <w:tcW w:type="dxa" w:w="1440"/>
          </w:tcPr>
          <w:p>
            <w:r>
              <w:rPr>
                <w:rFonts w:ascii="Calibri" w:hAnsi="Calibri"/>
                <w:sz w:val="22"/>
              </w:rPr>
              <w:t>Discretionary sale; no 10b5-1 plan indicated. 3,549 shares remaining. Routine in size for a CAO.</w:t>
            </w:r>
          </w:p>
        </w:tc>
      </w:tr>
    </w:tbl>
    <w:p>
      <w:r>
        <w:rPr>
          <w:rFonts w:ascii="Calibri" w:hAnsi="Calibri"/>
          <w:i/>
          <w:color w:val="525866"/>
          <w:sz w:val="22"/>
        </w:rPr>
        <w:t>No open-market buys were filed in the period. Neither sale is unusual in size or timing relative to the executive's role and compensation level. The absence of clustered selling by senior leadership (CEO, CFO, or board members) is a mild positive signal. Source: SEC Form 4 Filings Database.</w:t>
      </w:r>
    </w:p>
    <w:p>
      <w:pPr>
        <w:pStyle w:val="Heading2"/>
      </w:pPr>
      <w:r>
        <w:rPr>
          <w:rFonts w:ascii="Calibri" w:hAnsi="Calibri"/>
          <w:b/>
          <w:color w:val="3B4259"/>
          <w:sz w:val="28"/>
        </w:rPr>
        <w:t>Risks &amp; Considerations</w:t>
      </w:r>
    </w:p>
    <w:p>
      <w:r>
        <w:rPr>
          <w:rFonts w:ascii="Calibri" w:hAnsi="Calibri"/>
          <w:b/>
          <w:color w:val="525866"/>
          <w:sz w:val="22"/>
        </w:rPr>
        <w:t xml:space="preserve">Key Takeaway: </w:t>
      </w:r>
      <w:r>
        <w:rPr>
          <w:rFonts w:ascii="Calibri" w:hAnsi="Calibri"/>
          <w:color w:val="525866"/>
          <w:sz w:val="22"/>
        </w:rPr>
        <w:t xml:space="preserve">The primary risks are </w:t>
      </w:r>
      <w:r>
        <w:rPr>
          <w:rFonts w:ascii="Calibri" w:hAnsi="Calibri"/>
          <w:b/>
          <w:color w:val="525866"/>
          <w:sz w:val="22"/>
        </w:rPr>
        <w:t>valuation (41x NTM P/E, 36x EV/EBITDA)</w:t>
      </w:r>
      <w:r>
        <w:rPr>
          <w:rFonts w:ascii="Calibri" w:hAnsi="Calibri"/>
          <w:color w:val="525866"/>
          <w:sz w:val="22"/>
        </w:rPr>
        <w:t xml:space="preserve"> leaving no room for execution missteps, and </w:t>
      </w:r>
      <w:r>
        <w:rPr>
          <w:rFonts w:ascii="Calibri" w:hAnsi="Calibri"/>
          <w:b/>
          <w:color w:val="525866"/>
          <w:sz w:val="22"/>
        </w:rPr>
        <w:t>offshore wind losses</w:t>
      </w:r>
      <w:r>
        <w:rPr>
          <w:rFonts w:ascii="Calibri" w:hAnsi="Calibri"/>
          <w:color w:val="525866"/>
          <w:sz w:val="22"/>
        </w:rPr>
        <w:t xml:space="preserve"> that could deepen if Dogger Bank B encounters installation challenges — both are known risks but could amplify a negative reaction if the print disappoints.</w:t>
      </w:r>
    </w:p>
    <w:p>
      <w:pPr>
        <w:pStyle w:val="ListBullet"/>
        <w:ind w:left="360" w:hanging="360"/>
      </w:pPr>
      <w:r>
        <w:rPr>
          <w:rFonts w:ascii="Calibri" w:hAnsi="Calibri"/>
          <w:b/>
          <w:color w:val="525866"/>
          <w:sz w:val="22"/>
        </w:rPr>
        <w:t>Valuation Premium Leaves No Room for Error:</w:t>
      </w:r>
      <w:r>
        <w:rPr>
          <w:rFonts w:ascii="Calibri" w:hAnsi="Calibri"/>
          <w:color w:val="525866"/>
          <w:sz w:val="22"/>
        </w:rPr>
        <w:t xml:space="preserve"> GEV trades at ~41.6x NTM P/E and ~35.8x NTM EV/EBITDA — a significant premium to historical averages and industrial peers. The 6-month price performance (+58%) has been driven primarily by EV/Sales multiple expansion (+46%), not earnings growth alone. Any guidance miss or tone shift would likely trigger a sharp de-rating.</w:t>
      </w:r>
    </w:p>
    <w:p>
      <w:pPr>
        <w:pStyle w:val="ListBullet"/>
        <w:ind w:left="360" w:hanging="360"/>
      </w:pPr>
      <w:r>
        <w:rPr>
          <w:rFonts w:ascii="Calibri" w:hAnsi="Calibri"/>
          <w:b/>
          <w:color w:val="525866"/>
          <w:sz w:val="22"/>
        </w:rPr>
        <w:t>Offshore Wind Losses Could Deepen:</w:t>
      </w:r>
      <w:r>
        <w:rPr>
          <w:rFonts w:ascii="Calibri" w:hAnsi="Calibri"/>
          <w:color w:val="525866"/>
          <w:sz w:val="22"/>
        </w:rPr>
        <w:t xml:space="preserve"> Wind EBITDA losses deepened in Q1 2026 due to lower onshore equipment deliveries, tariff impacts, and higher offshore contract losses. Dogger Bank B installation is underway but offshore projects have a history of cost overruns. If losses exceed the ~$(400)M FY guidance, it would be a negative surprise.</w:t>
      </w:r>
    </w:p>
    <w:p>
      <w:pPr>
        <w:pStyle w:val="ListBullet"/>
        <w:ind w:left="360" w:hanging="360"/>
      </w:pPr>
      <w:r>
        <w:rPr>
          <w:rFonts w:ascii="Calibri" w:hAnsi="Calibri"/>
          <w:b/>
          <w:color w:val="525866"/>
          <w:sz w:val="22"/>
        </w:rPr>
        <w:t>EPC Construction Bottleneck as a Double-Edged Sword:</w:t>
      </w:r>
      <w:r>
        <w:rPr>
          <w:rFonts w:ascii="Calibri" w:hAnsi="Calibri"/>
          <w:color w:val="525866"/>
          <w:sz w:val="22"/>
        </w:rPr>
        <w:t xml:space="preserve"> Management has flagged EPC construction capacity — not GEV factory output — as the primary constraint on gas turbine deployment. While this validates GEV's pricing power, it also means revenue recognition could be delayed if EPC partners cannot execute on schedule.</w:t>
      </w:r>
    </w:p>
    <w:p>
      <w:pPr>
        <w:pStyle w:val="ListBullet"/>
        <w:ind w:left="360" w:hanging="360"/>
      </w:pPr>
      <w:r>
        <w:rPr>
          <w:rFonts w:ascii="Calibri" w:hAnsi="Calibri"/>
          <w:b/>
          <w:color w:val="525866"/>
          <w:sz w:val="22"/>
        </w:rPr>
        <w:t>Tariff and Trade Policy Uncertainty:</w:t>
      </w:r>
      <w:r>
        <w:rPr>
          <w:rFonts w:ascii="Calibri" w:hAnsi="Calibri"/>
          <w:color w:val="525866"/>
          <w:sz w:val="22"/>
        </w:rPr>
        <w:t xml:space="preserve"> Section 232 tariff changes have a slightly higher impact on Prolec GE than other GEV businesses. Broader trade policy uncertainty (tariffs on steel, aluminum, and imported components) could pressure margins if not fully offset by pricing. Management has indicated tariff impacts are within overall guidance range.</w:t>
      </w:r>
    </w:p>
    <w:p>
      <w:pPr>
        <w:pStyle w:val="ListBullet"/>
        <w:ind w:left="360" w:hanging="360"/>
      </w:pPr>
      <w:r>
        <w:rPr>
          <w:rFonts w:ascii="Calibri" w:hAnsi="Calibri"/>
          <w:b/>
          <w:color w:val="525866"/>
          <w:sz w:val="22"/>
        </w:rPr>
        <w:t>Electrification Order Momentum Sustainability:</w:t>
      </w:r>
      <w:r>
        <w:rPr>
          <w:rFonts w:ascii="Calibri" w:hAnsi="Calibri"/>
          <w:color w:val="525866"/>
          <w:sz w:val="22"/>
        </w:rPr>
        <w:t xml:space="preserve"> Q1 2026 electrification data-center orders alone exceeded all of 2025 — a very high bar for Q2. If order momentum normalizes (even to a still-strong level), the market may interpret it as a deceleration, given elevated expectations.</w:t>
      </w:r>
    </w:p>
    <w:p>
      <w:pPr>
        <w:pStyle w:val="ListBullet"/>
        <w:ind w:left="360" w:hanging="360"/>
      </w:pPr>
      <w:r>
        <w:rPr>
          <w:rFonts w:ascii="Calibri" w:hAnsi="Calibri"/>
          <w:b/>
          <w:color w:val="525866"/>
          <w:sz w:val="22"/>
        </w:rPr>
        <w:t>Framework Agreement Conversion Risk:</w:t>
      </w:r>
      <w:r>
        <w:rPr>
          <w:rFonts w:ascii="Calibri" w:hAnsi="Calibri"/>
          <w:color w:val="525866"/>
          <w:sz w:val="22"/>
        </w:rPr>
        <w:t xml:space="preserve"> Management noted ~30–35 potential gas power counterparties in framework agreement discussions but none closed as of Q1. If Q2 shows limited conversion progress, it could raise questions about the durability of the 110 GW target.</w:t>
      </w:r>
    </w:p>
    <w:p>
      <w:pPr>
        <w:pStyle w:val="ListBullet"/>
        <w:ind w:left="360" w:hanging="360"/>
      </w:pPr>
      <w:r>
        <w:rPr>
          <w:rFonts w:ascii="Calibri" w:hAnsi="Calibri"/>
          <w:b/>
          <w:color w:val="525866"/>
          <w:sz w:val="22"/>
        </w:rPr>
        <w:t>Onshore Wind North America Softness:</w:t>
      </w:r>
      <w:r>
        <w:rPr>
          <w:rFonts w:ascii="Calibri" w:hAnsi="Calibri"/>
          <w:color w:val="525866"/>
          <w:sz w:val="22"/>
        </w:rPr>
        <w:t xml:space="preserve"> Only 30% of expected 2026 onshore turbine shipments were in H1, with improvement expected in H2. If H2 ramp does not materialize (e.g., due to policy uncertainty around ITC/PTC), Wind losses could exceed guidance.</w:t>
      </w:r>
    </w:p>
    <w:p>
      <w:pPr>
        <w:pStyle w:val="ListBullet"/>
        <w:ind w:left="360" w:hanging="360"/>
      </w:pPr>
      <w:r>
        <w:rPr>
          <w:rFonts w:ascii="Calibri" w:hAnsi="Calibri"/>
          <w:b/>
          <w:color w:val="525866"/>
          <w:sz w:val="22"/>
        </w:rPr>
        <w:t>FCF Timing Risk:</w:t>
      </w:r>
      <w:r>
        <w:rPr>
          <w:rFonts w:ascii="Calibri" w:hAnsi="Calibri"/>
          <w:color w:val="525866"/>
          <w:sz w:val="22"/>
        </w:rPr>
        <w:t xml:space="preserve"> Q1 FCF of $4.79B was anomalously high due to large working capital inflows from down payments on orders and slot reservations. Q2 FCF consensus of only $807M implies a significant sequential decline — if working capital reverses more than expected, FCF could disappoint even if EBITDA beats.</w:t>
      </w:r>
    </w:p>
    <w:p>
      <w:pPr>
        <w:pStyle w:val="ListBullet"/>
        <w:ind w:left="360" w:hanging="360"/>
      </w:pPr>
      <w:r>
        <w:rPr>
          <w:rFonts w:ascii="Calibri" w:hAnsi="Calibri"/>
          <w:b/>
          <w:color w:val="525866"/>
          <w:sz w:val="22"/>
        </w:rPr>
        <w:t>Nuclear/SMR Timeline Execution:</w:t>
      </w:r>
      <w:r>
        <w:rPr>
          <w:rFonts w:ascii="Calibri" w:hAnsi="Calibri"/>
          <w:color w:val="525866"/>
          <w:sz w:val="22"/>
        </w:rPr>
        <w:t xml:space="preserve"> Nuclear is a sub-$1B revenue business in 2026 and management is building toward a contracted book threshold. Delays in NRC licensing (Clinch River) or construction milestones (Darlington) could dampen the long-term narrative, though near-term financial impact is minimal.</w:t>
      </w:r>
    </w:p>
    <w:p>
      <w:pPr>
        <w:pStyle w:val="Heading2"/>
      </w:pPr>
      <w:r>
        <w:rPr>
          <w:rFonts w:ascii="Calibri" w:hAnsi="Calibri"/>
          <w:b/>
          <w:color w:val="3B4259"/>
          <w:sz w:val="28"/>
        </w:rPr>
        <w:t>Valuation Context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Metric</w:t>
            </w:r>
          </w:p>
        </w:tc>
        <w:tc>
          <w:tcPr>
            <w:tcW w:type="dxa" w:w="1440"/>
            <w:shd w:val="clear" w:color="auto" w:fill="3B4259"/>
          </w:tcPr>
          <w:p>
            <w:r>
              <w:rPr>
                <w:rFonts w:ascii="Calibri" w:hAnsi="Calibri"/>
                <w:b/>
                <w:color w:val="FFFFFF"/>
                <w:sz w:val="22"/>
              </w:rPr>
              <w:t>Current NTM Multiple</w:t>
            </w:r>
          </w:p>
        </w:tc>
        <w:tc>
          <w:tcPr>
            <w:tcW w:type="dxa" w:w="1440"/>
            <w:shd w:val="clear" w:color="auto" w:fill="3B4259"/>
          </w:tcPr>
          <w:p>
            <w:r>
              <w:rPr>
                <w:rFonts w:ascii="Calibri" w:hAnsi="Calibri"/>
                <w:b/>
                <w:color w:val="FFFFFF"/>
                <w:sz w:val="22"/>
              </w:rPr>
              <w:t>1-Month Ago</w:t>
            </w:r>
          </w:p>
        </w:tc>
        <w:tc>
          <w:tcPr>
            <w:tcW w:type="dxa" w:w="1440"/>
            <w:shd w:val="clear" w:color="auto" w:fill="3B4259"/>
          </w:tcPr>
          <w:p>
            <w:r>
              <w:rPr>
                <w:rFonts w:ascii="Calibri" w:hAnsi="Calibri"/>
                <w:b/>
                <w:color w:val="FFFFFF"/>
                <w:sz w:val="22"/>
              </w:rPr>
              <w:t>3-Months Ago</w:t>
            </w:r>
          </w:p>
        </w:tc>
        <w:tc>
          <w:tcPr>
            <w:tcW w:type="dxa" w:w="1440"/>
            <w:shd w:val="clear" w:color="auto" w:fill="3B4259"/>
          </w:tcPr>
          <w:p>
            <w:r>
              <w:rPr>
                <w:rFonts w:ascii="Calibri" w:hAnsi="Calibri"/>
                <w:b/>
                <w:color w:val="FFFFFF"/>
                <w:sz w:val="22"/>
              </w:rPr>
              <w:t>6-Months Ago</w:t>
            </w:r>
          </w:p>
        </w:tc>
        <w:tc>
          <w:tcPr>
            <w:tcW w:type="dxa" w:w="1440"/>
            <w:shd w:val="clear" w:color="auto" w:fill="3B4259"/>
          </w:tcPr>
          <w:p>
            <w:r>
              <w:rPr>
                <w:rFonts w:ascii="Calibri" w:hAnsi="Calibri"/>
                <w:b/>
                <w:color w:val="FFFFFF"/>
                <w:sz w:val="22"/>
              </w:rPr>
              <w:t>12-Months Ago</w:t>
            </w:r>
          </w:p>
        </w:tc>
      </w:tr>
      <w:tr>
        <w:tc>
          <w:tcPr>
            <w:tcW w:type="dxa" w:w="1440"/>
          </w:tcPr>
          <w:p>
            <w:r>
              <w:rPr>
                <w:rFonts w:ascii="Calibri" w:hAnsi="Calibri"/>
                <w:sz w:val="22"/>
              </w:rPr>
              <w:t>EV / EBITDA (NTM)</w:t>
            </w:r>
          </w:p>
        </w:tc>
        <w:tc>
          <w:tcPr>
            <w:tcW w:type="dxa" w:w="1440"/>
          </w:tcPr>
          <w:p>
            <w:r>
              <w:rPr>
                <w:rFonts w:ascii="Calibri" w:hAnsi="Calibri"/>
                <w:sz w:val="22"/>
              </w:rPr>
              <w:t>35.8x</w:t>
            </w:r>
          </w:p>
        </w:tc>
        <w:tc>
          <w:tcPr>
            <w:tcW w:type="dxa" w:w="1440"/>
          </w:tcPr>
          <w:p>
            <w:r>
              <w:rPr>
                <w:rFonts w:ascii="Calibri" w:hAnsi="Calibri"/>
                <w:sz w:val="22"/>
              </w:rPr>
              <w:t>36.2x</w:t>
            </w:r>
          </w:p>
        </w:tc>
        <w:tc>
          <w:tcPr>
            <w:tcW w:type="dxa" w:w="1440"/>
          </w:tcPr>
          <w:p>
            <w:r>
              <w:rPr>
                <w:rFonts w:ascii="Calibri" w:hAnsi="Calibri"/>
                <w:sz w:val="22"/>
              </w:rPr>
              <w:t>39.2x</w:t>
            </w:r>
          </w:p>
        </w:tc>
        <w:tc>
          <w:tcPr>
            <w:tcW w:type="dxa" w:w="1440"/>
          </w:tcPr>
          <w:p>
            <w:r>
              <w:rPr>
                <w:rFonts w:ascii="Calibri" w:hAnsi="Calibri"/>
                <w:sz w:val="22"/>
              </w:rPr>
              <w:t>30.3x</w:t>
            </w:r>
          </w:p>
        </w:tc>
        <w:tc>
          <w:tcPr>
            <w:tcW w:type="dxa" w:w="1440"/>
          </w:tcPr>
          <w:p>
            <w:r>
              <w:rPr>
                <w:rFonts w:ascii="Calibri" w:hAnsi="Calibri"/>
                <w:sz w:val="22"/>
              </w:rPr>
              <w:t>36.7x</w:t>
            </w:r>
          </w:p>
        </w:tc>
      </w:tr>
      <w:tr>
        <w:tc>
          <w:tcPr>
            <w:tcW w:type="dxa" w:w="1440"/>
          </w:tcPr>
          <w:p>
            <w:r>
              <w:rPr>
                <w:rFonts w:ascii="Calibri" w:hAnsi="Calibri"/>
                <w:sz w:val="22"/>
              </w:rPr>
              <w:t>P / E (NTM)</w:t>
            </w:r>
          </w:p>
        </w:tc>
        <w:tc>
          <w:tcPr>
            <w:tcW w:type="dxa" w:w="1440"/>
          </w:tcPr>
          <w:p>
            <w:r>
              <w:rPr>
                <w:rFonts w:ascii="Calibri" w:hAnsi="Calibri"/>
                <w:sz w:val="22"/>
              </w:rPr>
              <w:t>41.6x</w:t>
            </w:r>
          </w:p>
        </w:tc>
        <w:tc>
          <w:tcPr>
            <w:tcW w:type="dxa" w:w="1440"/>
          </w:tcPr>
          <w:p>
            <w:r>
              <w:rPr>
                <w:rFonts w:ascii="Calibri" w:hAnsi="Calibri"/>
                <w:sz w:val="22"/>
              </w:rPr>
              <w:t>40.0x</w:t>
            </w:r>
          </w:p>
        </w:tc>
        <w:tc>
          <w:tcPr>
            <w:tcW w:type="dxa" w:w="1440"/>
          </w:tcPr>
          <w:p>
            <w:r>
              <w:rPr>
                <w:rFonts w:ascii="Calibri" w:hAnsi="Calibri"/>
                <w:sz w:val="22"/>
              </w:rPr>
              <w:t>57.7x</w:t>
            </w:r>
          </w:p>
        </w:tc>
        <w:tc>
          <w:tcPr>
            <w:tcW w:type="dxa" w:w="1440"/>
          </w:tcPr>
          <w:p>
            <w:r>
              <w:rPr>
                <w:rFonts w:ascii="Calibri" w:hAnsi="Calibri"/>
                <w:sz w:val="22"/>
              </w:rPr>
              <w:t>45.3x</w:t>
            </w:r>
          </w:p>
        </w:tc>
        <w:tc>
          <w:tcPr>
            <w:tcW w:type="dxa" w:w="1440"/>
          </w:tcPr>
          <w:p>
            <w:r>
              <w:rPr>
                <w:rFonts w:ascii="Calibri" w:hAnsi="Calibri"/>
                <w:sz w:val="22"/>
              </w:rPr>
              <w:t>58.1x</w:t>
            </w:r>
          </w:p>
        </w:tc>
      </w:tr>
      <w:tr>
        <w:tc>
          <w:tcPr>
            <w:tcW w:type="dxa" w:w="1440"/>
          </w:tcPr>
          <w:p>
            <w:r>
              <w:rPr>
                <w:rFonts w:ascii="Calibri" w:hAnsi="Calibri"/>
                <w:sz w:val="22"/>
              </w:rPr>
              <w:t>EV / Sales (NTM)</w:t>
            </w:r>
          </w:p>
        </w:tc>
        <w:tc>
          <w:tcPr>
            <w:tcW w:type="dxa" w:w="1440"/>
          </w:tcPr>
          <w:p>
            <w:r>
              <w:rPr>
                <w:rFonts w:ascii="Calibri" w:hAnsi="Calibri"/>
                <w:sz w:val="22"/>
              </w:rPr>
              <w:t>5.8x</w:t>
            </w:r>
          </w:p>
        </w:tc>
        <w:tc>
          <w:tcPr>
            <w:tcW w:type="dxa" w:w="1440"/>
          </w:tcPr>
          <w:p>
            <w:r>
              <w:rPr>
                <w:rFonts w:ascii="Calibri" w:hAnsi="Calibri"/>
                <w:sz w:val="22"/>
              </w:rPr>
              <w:t>5.7x</w:t>
            </w:r>
          </w:p>
        </w:tc>
        <w:tc>
          <w:tcPr>
            <w:tcW w:type="dxa" w:w="1440"/>
          </w:tcPr>
          <w:p>
            <w:r>
              <w:rPr>
                <w:rFonts w:ascii="Calibri" w:hAnsi="Calibri"/>
                <w:sz w:val="22"/>
              </w:rPr>
              <w:t>5.6x</w:t>
            </w:r>
          </w:p>
        </w:tc>
        <w:tc>
          <w:tcPr>
            <w:tcW w:type="dxa" w:w="1440"/>
          </w:tcPr>
          <w:p>
            <w:r>
              <w:rPr>
                <w:rFonts w:ascii="Calibri" w:hAnsi="Calibri"/>
                <w:sz w:val="22"/>
              </w:rPr>
              <w:t>4.0x</w:t>
            </w:r>
          </w:p>
        </w:tc>
        <w:tc>
          <w:tcPr>
            <w:tcW w:type="dxa" w:w="1440"/>
          </w:tcPr>
          <w:p>
            <w:r>
              <w:rPr>
                <w:rFonts w:ascii="Calibri" w:hAnsi="Calibri"/>
                <w:sz w:val="22"/>
              </w:rPr>
              <w:t>3.9x</w:t>
            </w:r>
          </w:p>
        </w:tc>
      </w:tr>
      <w:tr>
        <w:tc>
          <w:tcPr>
            <w:tcW w:type="dxa" w:w="1440"/>
          </w:tcPr>
          <w:p>
            <w:r>
              <w:rPr>
                <w:rFonts w:ascii="Calibri" w:hAnsi="Calibri"/>
                <w:sz w:val="22"/>
              </w:rPr>
              <w:t>P / FCF (NTM)</w:t>
            </w:r>
          </w:p>
        </w:tc>
        <w:tc>
          <w:tcPr>
            <w:tcW w:type="dxa" w:w="1440"/>
          </w:tcPr>
          <w:p>
            <w:r>
              <w:rPr>
                <w:rFonts w:ascii="Calibri" w:hAnsi="Calibri"/>
                <w:sz w:val="22"/>
              </w:rPr>
              <w:t>41.7x</w:t>
            </w:r>
          </w:p>
        </w:tc>
        <w:tc>
          <w:tcPr>
            <w:tcW w:type="dxa" w:w="1440"/>
          </w:tcPr>
          <w:p>
            <w:r>
              <w:rPr>
                <w:rFonts w:ascii="Calibri" w:hAnsi="Calibri"/>
                <w:sz w:val="22"/>
              </w:rPr>
              <w:t>40.9x</w:t>
            </w:r>
          </w:p>
        </w:tc>
        <w:tc>
          <w:tcPr>
            <w:tcW w:type="dxa" w:w="1440"/>
          </w:tcPr>
          <w:p>
            <w:r>
              <w:rPr>
                <w:rFonts w:ascii="Calibri" w:hAnsi="Calibri"/>
                <w:sz w:val="22"/>
              </w:rPr>
              <w:t>53.1x</w:t>
            </w:r>
          </w:p>
        </w:tc>
        <w:tc>
          <w:tcPr>
            <w:tcW w:type="dxa" w:w="1440"/>
          </w:tcPr>
          <w:p>
            <w:r>
              <w:rPr>
                <w:rFonts w:ascii="Calibri" w:hAnsi="Calibri"/>
                <w:sz w:val="22"/>
              </w:rPr>
              <w:t>42.7x</w:t>
            </w:r>
          </w:p>
        </w:tc>
        <w:tc>
          <w:tcPr>
            <w:tcW w:type="dxa" w:w="1440"/>
          </w:tcPr>
          <w:p>
            <w:r>
              <w:rPr>
                <w:rFonts w:ascii="Calibri" w:hAnsi="Calibri"/>
                <w:sz w:val="22"/>
              </w:rPr>
              <w:t>58.9x</w:t>
            </w:r>
          </w:p>
        </w:tc>
      </w:tr>
      <w:tr>
        <w:tc>
          <w:tcPr>
            <w:tcW w:type="dxa" w:w="1440"/>
          </w:tcPr>
          <w:p>
            <w:r>
              <w:rPr>
                <w:rFonts w:ascii="Calibri" w:hAnsi="Calibri"/>
                <w:sz w:val="22"/>
              </w:rPr>
              <w:t>P / Book Value (NTM)</w:t>
            </w:r>
          </w:p>
        </w:tc>
        <w:tc>
          <w:tcPr>
            <w:tcW w:type="dxa" w:w="1440"/>
          </w:tcPr>
          <w:p>
            <w:r>
              <w:rPr>
                <w:rFonts w:ascii="Calibri" w:hAnsi="Calibri"/>
                <w:sz w:val="22"/>
              </w:rPr>
              <w:t>16.4x</w:t>
            </w:r>
          </w:p>
        </w:tc>
        <w:tc>
          <w:tcPr>
            <w:tcW w:type="dxa" w:w="1440"/>
          </w:tcPr>
          <w:p>
            <w:r>
              <w:rPr>
                <w:rFonts w:ascii="Calibri" w:hAnsi="Calibri"/>
                <w:sz w:val="22"/>
              </w:rPr>
              <w:t>16.6x</w:t>
            </w:r>
          </w:p>
        </w:tc>
        <w:tc>
          <w:tcPr>
            <w:tcW w:type="dxa" w:w="1440"/>
          </w:tcPr>
          <w:p>
            <w:r>
              <w:rPr>
                <w:rFonts w:ascii="Calibri" w:hAnsi="Calibri"/>
                <w:sz w:val="22"/>
              </w:rPr>
              <w:t>19.1x</w:t>
            </w:r>
          </w:p>
        </w:tc>
        <w:tc>
          <w:tcPr>
            <w:tcW w:type="dxa" w:w="1440"/>
          </w:tcPr>
          <w:p>
            <w:r>
              <w:rPr>
                <w:rFonts w:ascii="Calibri" w:hAnsi="Calibri"/>
                <w:sz w:val="22"/>
              </w:rPr>
              <w:t>14.4x</w:t>
            </w:r>
          </w:p>
        </w:tc>
        <w:tc>
          <w:tcPr>
            <w:tcW w:type="dxa" w:w="1440"/>
          </w:tcPr>
          <w:p>
            <w:r>
              <w:rPr>
                <w:rFonts w:ascii="Calibri" w:hAnsi="Calibri"/>
                <w:sz w:val="22"/>
              </w:rPr>
              <w:t>14.1x</w:t>
            </w:r>
          </w:p>
        </w:tc>
      </w:tr>
    </w:tbl>
    <w:p>
      <w:r>
        <w:rPr>
          <w:rFonts w:ascii="Calibri" w:hAnsi="Calibri"/>
          <w:i/>
          <w:color w:val="525866"/>
          <w:sz w:val="22"/>
        </w:rPr>
        <w:t>The 6-month price return of +58% has been driven primarily by EV/Sales multiple expansion (+46%), with EV/EBITDA expanding +18% — indicating the market is pricing in significant future earnings growth rather than current-period results. The P/E multiple has actually compressed from 58x to 42x over 12 months as earnings have grown faster than the stock, a constructive sign. Source: Stock Performance Decomposition Data.</w:t>
      </w:r>
    </w:p>
    <w:p>
      <w:r>
        <w:rPr>
          <w:rFonts w:ascii="Calibri" w:hAnsi="Calibri"/>
          <w:b/>
          <w:i/>
          <w:color w:val="525866"/>
          <w:sz w:val="22"/>
        </w:rPr>
        <w:t>— End of GEV Q2 2026 Earnings Preview —</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