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l-earnings-predictions--2026-07-22"/>
    <w:p>
      <w:pPr>
        <w:pStyle w:val="Heading1"/>
      </w:pPr>
      <w:r>
        <w:t xml:space="preserve">GL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operating EPS (2Q26)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3.70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3.62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AIL avg. producing agent count (2Q26)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~11,100 vs. cons ~11,450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Health underwriting margin % (2Q26)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~25.0% vs. cons ~25.3%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15.50</m:t>
              </m:r>
              <m:r>
                <m:rPr>
                  <m:sty m:val="p"/>
                </m:rPr>
                <m:t>−</m:t>
              </m:r>
            </m:oMath>
            <w:r>
              <w:t xml:space="preserve">16.00 (mid ~</w:t>
            </w:r>
            <m:oMath>
              <m:r>
                <m:t>15.75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15.72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assumption-update life margin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~49-54% (mid ~51.5%) vs. cons ~51% (3Q26)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buyback pace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560</m:t>
              </m:r>
              <m:r>
                <m:rPr>
                  <m:sty m:val="p"/>
                </m:rPr>
                <m:t>−</m:t>
              </m:r>
              <m:r>
                <m:t>610</m:t>
              </m:r>
              <m:r>
                <m:t>M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585M) vs. cons ~$585M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GL is a near-zero/negative-beta idiosyncratic mover (measured beta ~ -0.05), so residual ~ raw move. The stock is +33% YTD, +20% since the Q1 print, and sitting at all-time highs (~$184, ~11.8x FY26 op-EPS), setting a high 'execution + no negative surprises' bar into a clean Q2 (no annual assumption update this quarter). A modest EPS beat is likely already discounted, while the two real forward catalysts (Q3 assumption update, Bermuda capital) only get pre-marketed here and the AIL agent-count inflection likely still shows a YoY decline — soft data that pressures 2H recruiting/sales assumptions. Absent a clear guide raise or a concrete Bermuda cash-flow update, out-period math and profit-taking pull estimates and the extended price back down after the print, so the initial reaction fades further over the following days.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2026-07-22T00:56:39Z</dcterms:created>
  <dcterms:modified xsi:type="dcterms:W3CDTF">2026-07-22T00:56:39Z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