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l-earnings-predictions--2026-07-22"/>
    <w:p>
      <w:pPr>
        <w:pStyle w:val="Heading1"/>
      </w:pPr>
      <w:r>
        <w:t xml:space="preserve">GL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~$3.68 vs. cons $3.66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Life underwriting margin (Q2, normalized)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~41.5% vs. cons ~41.0%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AIL average producing agent count growth (y/y)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~-1.5% vs. cons ~-3.5%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net operating EPS guidance (midpoint)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~$15.65 vs. cons $15.65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life underwriting margin guidance (midpoint)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~43.5% vs. cons ~43.5%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life-margin assumption-update pre-tax benefit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90M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United American/health full-year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~17% vs. cons ~17%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(FADE)</w:t>
            </w:r>
          </w:p>
        </w:tc>
        <w:tc>
          <w:tcPr/>
          <w:p>
            <w:pPr>
              <w:pStyle w:val="Compact"/>
            </w:pPr>
            <w:r>
              <w:t xml:space="preserve">Stock has rallied ~33% since mid-June into the print (from ~</w:t>
            </w:r>
            <m:oMath>
              <m:r>
                <m:t>138</m:t>
              </m:r>
              <m:r>
                <m:t>i</m:t>
              </m:r>
              <m:r>
                <m:t>n</m:t>
              </m:r>
              <m:r>
                <m:t>J</m:t>
              </m:r>
              <m:r>
                <m:t>a</m:t>
              </m:r>
              <m:r>
                <m:t>n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184, average analyst PT only ~$188.55), leaving almost no cushion for anything short of a clean beat-and-raise. Q2 is explicitly guided to a 'clean' ~41% normalized life margin with the real upside catalyst (Q3 assumption-update benefit) withheld until next quarter, so an in-line Q2 print with only reaffirmed (not raised) FY26 guidance removes the near-term re-rating catalyst investors have been front-running. Precedent from Q1 (a small EPS miss that the market shrugged off only because guidance was raised) suggests a merely reaffirmed guide this time, after such a steep run-up and with AIL agent-count recovery still unconfirmed, likely triggers sell-the-news profit-taking that builds over the week as sell-side analysts trim near-term numbers pending the Q3 assumption update, rather than an immediate one-day-and-done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2026-07-22T01:02:46Z</dcterms:created>
  <dcterms:modified xsi:type="dcterms:W3CDTF">2026-07-22T01:02:46Z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