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4086d338b36c6681cb6fe2b0623295c1dde20c8"/>
    <w:p>
      <w:pPr>
        <w:pStyle w:val="Heading1"/>
      </w:pPr>
      <w:r>
        <w:t xml:space="preserve">Globe Life (NYSE: GL) — Q2 2026 Earnings Preview</w:t>
      </w:r>
    </w:p>
    <w:p>
      <w:pPr>
        <w:pStyle w:val="BlockText"/>
      </w:pPr>
      <w:r>
        <w:rPr>
          <w:b/>
          <w:bCs/>
        </w:rPr>
        <w:t xml:space="preserve">Timing clarification:</w:t>
      </w:r>
      <w:r>
        <w:t xml:space="preserve"> </w:t>
      </w:r>
      <w:r>
        <w:t xml:space="preserve">Globe Life is scheduled to release Q2 results</w:t>
      </w:r>
      <w:r>
        <w:t xml:space="preserve"> </w:t>
      </w:r>
      <w:r>
        <w:rPr>
          <w:b/>
          <w:bCs/>
        </w:rPr>
        <w:t xml:space="preserve">after the market closes today, Wednesday, July 22, 2026</w:t>
      </w:r>
      <w:r>
        <w:t xml:space="preserve">. The earnings call is</w:t>
      </w:r>
      <w:r>
        <w:t xml:space="preserve"> </w:t>
      </w:r>
      <w:r>
        <w:rPr>
          <w:b/>
          <w:bCs/>
        </w:rPr>
        <w:t xml:space="preserve">tomorrow, Thursday, July 23, at 11:00 a.m. Eastern</w:t>
      </w:r>
      <w:r>
        <w:t xml:space="preserve">. (</w:t>
      </w:r>
      <w:hyperlink r:id="rId9">
        <w:r>
          <w:rPr>
            <w:rStyle w:val="Hyperlink"/>
          </w:rPr>
          <w:t xml:space="preserve">investors.globelifeinsurance.com</w:t>
        </w:r>
      </w:hyperlink>
      <w:r>
        <w:t xml:space="preserve">)</w:t>
      </w:r>
    </w:p>
    <w:bookmarkStart w:id="11" w:name="executive-view"/>
    <w:p>
      <w:pPr>
        <w:pStyle w:val="Heading2"/>
      </w:pPr>
      <w:r>
        <w:t xml:space="preserve">Executive view</w:t>
      </w:r>
    </w:p>
    <w:p>
      <w:pPr>
        <w:pStyle w:val="FirstParagraph"/>
      </w:pPr>
      <w:r>
        <w:t xml:space="preserve">The setup is favorable—but expectations are materially higher than they were three months ago.</w:t>
      </w:r>
    </w:p>
    <w:p>
      <w:pPr>
        <w:pStyle w:val="BodyText"/>
      </w:pPr>
      <w:r>
        <w:t xml:space="preserve">Globe Life entered Q2 with strong health-insurance growth, favorable mortality, rising investment yields and substantial share repurchases. The central question is no longer whether the business has stabilized; it is whether operating momentum can support management’s raised 2026 guidance after a major stock-price rally.</w:t>
      </w:r>
    </w:p>
    <w:p>
      <w:pPr>
        <w:pStyle w:val="BodyText"/>
      </w:pPr>
      <w:r>
        <w:t xml:space="preserve">Wall Street expects approximately</w:t>
      </w:r>
      <w:r>
        <w:t xml:space="preserve"> </w:t>
      </w:r>
      <m:oMath>
        <m:r>
          <m:t>3.67</m:t>
        </m:r>
        <m:r>
          <m:t>o</m:t>
        </m:r>
        <m:r>
          <m:t>f</m:t>
        </m:r>
        <m:r>
          <m:t>Q</m:t>
        </m:r>
        <m:r>
          <m:t>2</m:t>
        </m:r>
        <m:r>
          <m:t>o</m:t>
        </m:r>
        <m:r>
          <m:t>p</m:t>
        </m:r>
        <m:r>
          <m:t>e</m:t>
        </m:r>
        <m:r>
          <m:t>r</m:t>
        </m:r>
        <m:r>
          <m:t>a</m:t>
        </m:r>
        <m:r>
          <m:t>t</m:t>
        </m:r>
        <m:r>
          <m:t>i</m:t>
        </m:r>
        <m:r>
          <m:t>n</m:t>
        </m:r>
        <m:r>
          <m:t>g</m:t>
        </m:r>
        <m:r>
          <m:t>E</m:t>
        </m:r>
        <m:r>
          <m:t>P</m:t>
        </m:r>
        <m:r>
          <m:t>S</m:t>
        </m:r>
        <m:r>
          <m:rPr>
            <m:sty m:val="p"/>
          </m:rPr>
          <m:t>*</m:t>
        </m:r>
        <m:r>
          <m:rPr>
            <m:sty m:val="p"/>
          </m:rPr>
          <m:t>*</m:t>
        </m:r>
        <m:r>
          <m:rPr>
            <m:sty m:val="p"/>
          </m:rPr>
          <m:t>,</m:t>
        </m:r>
        <m:r>
          <m:t>u</m:t>
        </m:r>
        <m:r>
          <m:t>p</m:t>
        </m:r>
        <m:r>
          <m:t>a</m:t>
        </m:r>
        <m:r>
          <m:t>b</m:t>
        </m:r>
        <m:r>
          <m:t>o</m:t>
        </m:r>
        <m:r>
          <m:t>u</m:t>
        </m:r>
        <m:r>
          <m:t>t</m:t>
        </m:r>
        <m:r>
          <m:t>12</m:t>
        </m:r>
      </m:oMath>
      <w:r>
        <w:rPr>
          <w:b/>
          <w:bCs/>
        </w:rPr>
        <w:t xml:space="preserve">1.59 billion of revenue</w:t>
      </w:r>
      <w:r>
        <w:t xml:space="preserve">, up approximately 6%. Estimates have been stable over the past month. (</w:t>
      </w:r>
      <w:hyperlink r:id="rId10">
        <w:r>
          <w:rPr>
            <w:rStyle w:val="Hyperlink"/>
          </w:rPr>
          <w:t xml:space="preserve">zacks.com</w:t>
        </w:r>
      </w:hyperlink>
      <w:r>
        <w:t xml:space="preserve">)</w:t>
      </w:r>
    </w:p>
    <w:p>
      <w:pPr>
        <w:pStyle w:val="BodyText"/>
      </w:pPr>
      <w:r>
        <w:t xml:space="preserve">GL closed July 21 at $184.37, approximately</w:t>
      </w:r>
      <w:r>
        <w:t xml:space="preserve"> </w:t>
      </w:r>
      <w:r>
        <w:rPr>
          <w:b/>
          <w:bCs/>
        </w:rPr>
        <w:t xml:space="preserve">33% above its first trading-day close of 2026</w:t>
      </w:r>
      <w:r>
        <w:t xml:space="preserve"> </w:t>
      </w:r>
      <w:r>
        <w:t xml:space="preserve">and 22% above its April 22 pre-Q1-report close. At that price, the shares trade at roughly</w:t>
      </w:r>
      <w:r>
        <w:t xml:space="preserve"> </w:t>
      </w:r>
      <w:r>
        <w:rPr>
          <w:b/>
          <w:bCs/>
        </w:rPr>
        <w:t xml:space="preserve">11.8 times the midpoint of management’s</w:t>
      </w:r>
      <w:r>
        <w:rPr>
          <w:b/>
          <w:bCs/>
        </w:rPr>
        <w:t xml:space="preserve"> </w:t>
      </w:r>
      <m:oMath>
        <m:r>
          <m:t>15.40</m:t>
        </m:r>
        <m:r>
          <m:rPr>
            <m:sty m:val="p"/>
          </m:rPr>
          <m:t>–</m:t>
        </m:r>
      </m:oMath>
      <w:r>
        <w:rPr>
          <w:b/>
          <w:bCs/>
        </w:rPr>
        <w:t xml:space="preserve">15.90 2026 operating-EPS guidance</w:t>
      </w:r>
      <w:r>
        <w:t xml:space="preserve">. The valuation is not demanding in absolute terms, but the rally means a routine guidance reaffirmation may no longer be enough to produce a strongly positive reaction.</w:t>
      </w:r>
    </w:p>
    <w:bookmarkEnd w:id="11"/>
    <w:bookmarkStart w:id="13" w:name="the-numbers-to-frame-the-report"/>
    <w:p>
      <w:pPr>
        <w:pStyle w:val="Heading2"/>
      </w:pPr>
      <w:r>
        <w:t xml:space="preserve">The numbers to frame the report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expectation or benchmark</w:t>
            </w:r>
          </w:p>
        </w:tc>
      </w:tr>
      <w:tr>
        <w:tc>
          <w:tcPr/>
          <w:p>
            <w:pPr>
              <w:pStyle w:val="Compact"/>
            </w:pPr>
            <w:r>
              <w:t xml:space="preserve">Consensus operating EPS</w:t>
            </w:r>
          </w:p>
        </w:tc>
        <w:tc>
          <w:tcPr/>
          <w:p>
            <w:pPr>
              <w:pStyle w:val="Compact"/>
              <w:jc w:val="right"/>
            </w:pPr>
            <w:r>
              <w:t xml:space="preserve">~</w:t>
            </w:r>
            <m:oMath>
              <m:r>
                <m:t>3.66</m:t>
              </m:r>
              <m:r>
                <m:rPr>
                  <m:sty m:val="p"/>
                </m:rPr>
                <m:t>–</m:t>
              </m:r>
            </m:oMath>
            <w:r>
              <w:t xml:space="preserve">3.68</w:t>
            </w:r>
          </w:p>
        </w:tc>
      </w:tr>
      <w:tr>
        <w:tc>
          <w:tcPr/>
          <w:p>
            <w:pPr>
              <w:pStyle w:val="Compact"/>
            </w:pPr>
            <w:r>
              <w:t xml:space="preserve">Consensus revenue</w:t>
            </w:r>
          </w:p>
        </w:tc>
        <w:tc>
          <w:tcPr/>
          <w:p>
            <w:pPr>
              <w:pStyle w:val="Compact"/>
              <w:jc w:val="right"/>
            </w:pPr>
            <w:r>
              <w:t xml:space="preserve">~$1.59 billion</w:t>
            </w:r>
          </w:p>
        </w:tc>
      </w:tr>
      <w:tr>
        <w:tc>
          <w:tcPr/>
          <w:p>
            <w:pPr>
              <w:pStyle w:val="Compact"/>
            </w:pPr>
            <w:r>
              <w:t xml:space="preserve">Prior-year Q2 EPS</w:t>
            </w:r>
          </w:p>
        </w:tc>
        <w:tc>
          <w:tcPr/>
          <w:p>
            <w:pPr>
              <w:pStyle w:val="Compact"/>
              <w:jc w:val="right"/>
            </w:pPr>
            <w:r>
              <w:t xml:space="preserve">$3.27</w:t>
            </w:r>
          </w:p>
        </w:tc>
      </w:tr>
      <w:tr>
        <w:tc>
          <w:tcPr/>
          <w:p>
            <w:pPr>
              <w:pStyle w:val="Compact"/>
            </w:pPr>
            <w:r>
              <w:t xml:space="preserve">2026 operating-EPS guidance</w:t>
            </w:r>
          </w:p>
        </w:tc>
        <w:tc>
          <w:tcPr/>
          <w:p>
            <w:pPr>
              <w:pStyle w:val="Compact"/>
              <w:jc w:val="right"/>
            </w:pPr>
            <m:oMath>
              <m:r>
                <m:t>15.40</m:t>
              </m:r>
              <m:r>
                <m:rPr>
                  <m:sty m:val="p"/>
                </m:rPr>
                <m:t>–</m:t>
              </m:r>
            </m:oMath>
            <w:r>
              <w:t xml:space="preserve">15.90</w:t>
            </w:r>
          </w:p>
        </w:tc>
      </w:tr>
      <w:tr>
        <w:tc>
          <w:tcPr/>
          <w:p>
            <w:pPr>
              <w:pStyle w:val="Compact"/>
            </w:pPr>
            <w:r>
              <w:t xml:space="preserve">Expected Q2 life underwriting margin</w:t>
            </w:r>
          </w:p>
        </w:tc>
        <w:tc>
          <w:tcPr/>
          <w:p>
            <w:pPr>
              <w:pStyle w:val="Compact"/>
              <w:jc w:val="right"/>
            </w:pPr>
            <w:r>
              <w:t xml:space="preserve">Around 41%</w:t>
            </w:r>
          </w:p>
        </w:tc>
      </w:tr>
      <w:tr>
        <w:tc>
          <w:tcPr/>
          <w:p>
            <w:pPr>
              <w:pStyle w:val="Compact"/>
            </w:pPr>
            <w:r>
              <w:t xml:space="preserve">2026 total premium-growth outlook</w:t>
            </w:r>
          </w:p>
        </w:tc>
        <w:tc>
          <w:tcPr/>
          <w:p>
            <w:pPr>
              <w:pStyle w:val="Compact"/>
              <w:jc w:val="right"/>
            </w:pPr>
            <w:r>
              <w:t xml:space="preserve">Approximately 7%</w:t>
            </w:r>
          </w:p>
        </w:tc>
      </w:tr>
      <w:tr>
        <w:tc>
          <w:tcPr/>
          <w:p>
            <w:pPr>
              <w:pStyle w:val="Compact"/>
            </w:pPr>
            <w:r>
              <w:t xml:space="preserve">2026 life premium-growth outlook</w:t>
            </w:r>
          </w:p>
        </w:tc>
        <w:tc>
          <w:tcPr/>
          <w:p>
            <w:pPr>
              <w:pStyle w:val="Compact"/>
              <w:jc w:val="right"/>
            </w:pPr>
            <w:r>
              <w:t xml:space="preserve">3%–3.5%</w:t>
            </w:r>
          </w:p>
        </w:tc>
      </w:tr>
      <w:tr>
        <w:tc>
          <w:tcPr/>
          <w:p>
            <w:pPr>
              <w:pStyle w:val="Compact"/>
            </w:pPr>
            <w:r>
              <w:t xml:space="preserve">2026 health premium-growth outlook</w:t>
            </w:r>
          </w:p>
        </w:tc>
        <w:tc>
          <w:tcPr/>
          <w:p>
            <w:pPr>
              <w:pStyle w:val="Compact"/>
              <w:jc w:val="right"/>
            </w:pPr>
            <w:r>
              <w:t xml:space="preserve">14%–17%</w:t>
            </w:r>
          </w:p>
        </w:tc>
      </w:tr>
      <w:tr>
        <w:tc>
          <w:tcPr/>
          <w:p>
            <w:pPr>
              <w:pStyle w:val="Compact"/>
            </w:pPr>
            <w:r>
              <w:t xml:space="preserve">2026 share-repurchase outlook</w:t>
            </w:r>
          </w:p>
        </w:tc>
        <w:tc>
          <w:tcPr/>
          <w:p>
            <w:pPr>
              <w:pStyle w:val="Compact"/>
              <w:jc w:val="right"/>
            </w:pPr>
            <m:oMath>
              <m:r>
                <m:t>560</m:t>
              </m:r>
              <m:r>
                <m:rPr>
                  <m:sty m:val="p"/>
                </m:rPr>
                <m:t>–</m:t>
              </m:r>
            </m:oMath>
            <w:r>
              <w:t xml:space="preserve">610 million</w:t>
            </w:r>
          </w:p>
        </w:tc>
      </w:tr>
    </w:tbl>
    <w:p>
      <w:pPr>
        <w:pStyle w:val="BodyText"/>
      </w:pPr>
      <w:r>
        <w:t xml:space="preserve">Management raised full-year guidance after Q1, citing greater share repurchases, higher expected investment income and a refined estimate for the favorable Q3 annual assumption review. (</w:t>
      </w:r>
      <w:hyperlink r:id="rId12">
        <w:r>
          <w:rPr>
            <w:rStyle w:val="Hyperlink"/>
          </w:rPr>
          <w:t xml:space="preserve">investors.globelifeinsurance.com</w:t>
        </w:r>
      </w:hyperlink>
      <w:r>
        <w:t xml:space="preserve">)</w:t>
      </w:r>
    </w:p>
    <w:bookmarkEnd w:id="13"/>
    <w:bookmarkStart w:id="23" w:name="what-matters-most"/>
    <w:p>
      <w:pPr>
        <w:pStyle w:val="Heading2"/>
      </w:pPr>
      <w:r>
        <w:t xml:space="preserve">What matters most</w:t>
      </w:r>
    </w:p>
    <w:bookmarkStart w:id="15" w:name="Xc209e3f091192cce583fd791aa42767dcb98c3f"/>
    <w:p>
      <w:pPr>
        <w:pStyle w:val="Heading3"/>
      </w:pPr>
      <w:r>
        <w:t xml:space="preserve">1. Medicare Supplement margins must begin catching up with sales</w:t>
      </w:r>
    </w:p>
    <w:p>
      <w:pPr>
        <w:pStyle w:val="FirstParagraph"/>
      </w:pPr>
      <w:r>
        <w:t xml:space="preserve">Health is currently Globe Life’s clearest growth engine. In Q1:</w:t>
      </w:r>
    </w:p>
    <w:p>
      <w:pPr>
        <w:pStyle w:val="Compact"/>
        <w:numPr>
          <w:ilvl w:val="0"/>
          <w:numId w:val="1001"/>
        </w:numPr>
      </w:pPr>
      <w:r>
        <w:t xml:space="preserve">Health premium increased 13%.</w:t>
      </w:r>
    </w:p>
    <w:p>
      <w:pPr>
        <w:pStyle w:val="Compact"/>
        <w:numPr>
          <w:ilvl w:val="0"/>
          <w:numId w:val="1001"/>
        </w:numPr>
      </w:pPr>
      <w:r>
        <w:t xml:space="preserve">Health net sales increased 58%.</w:t>
      </w:r>
    </w:p>
    <w:p>
      <w:pPr>
        <w:pStyle w:val="Compact"/>
        <w:numPr>
          <w:ilvl w:val="0"/>
          <w:numId w:val="1001"/>
        </w:numPr>
      </w:pPr>
      <w:r>
        <w:t xml:space="preserve">United American health premium increased 22%.</w:t>
      </w:r>
    </w:p>
    <w:p>
      <w:pPr>
        <w:pStyle w:val="Compact"/>
        <w:numPr>
          <w:ilvl w:val="0"/>
          <w:numId w:val="1001"/>
        </w:numPr>
      </w:pPr>
      <w:r>
        <w:t xml:space="preserve">United American health net sales increased 122%.</w:t>
      </w:r>
    </w:p>
    <w:p>
      <w:pPr>
        <w:pStyle w:val="FirstParagraph"/>
      </w:pPr>
      <w:r>
        <w:t xml:space="preserve">However, United American’s Q1 underwriting margin was only 3% of premium, reflecting claims seasonality and the fact that most approved Medicare Supplement rate increases had not yet reached the income statement. (</w:t>
      </w:r>
      <w:hyperlink r:id="rId14">
        <w:r>
          <w:rPr>
            <w:rStyle w:val="Hyperlink"/>
          </w:rPr>
          <w:t xml:space="preserve">investors.globelifeinsurance.com</w:t>
        </w:r>
      </w:hyperlink>
      <w:r>
        <w:t xml:space="preserve">)</w:t>
      </w:r>
    </w:p>
    <w:p>
      <w:pPr>
        <w:pStyle w:val="BodyText"/>
      </w:pPr>
      <w:r>
        <w:t xml:space="preserve">Management expected approximately</w:t>
      </w:r>
      <w:r>
        <w:t xml:space="preserve"> </w:t>
      </w:r>
      <w:r>
        <w:rPr>
          <w:b/>
          <w:bCs/>
        </w:rPr>
        <w:t xml:space="preserve">$65 million of incremental 2026 premium from approved Medicare Supplement rate increases</w:t>
      </w:r>
      <w:r>
        <w:t xml:space="preserve">, primarily during the final three quarters. It projected United American’s margin at roughly</w:t>
      </w:r>
      <w:r>
        <w:t xml:space="preserve"> </w:t>
      </w:r>
      <w:r>
        <w:rPr>
          <w:b/>
          <w:bCs/>
        </w:rPr>
        <w:t xml:space="preserve">10% over Q2–Q4</w:t>
      </w:r>
      <w:r>
        <w:t xml:space="preserve">, versus 3% in Q1. (</w:t>
      </w:r>
      <w:hyperlink r:id="rId12">
        <w:r>
          <w:rPr>
            <w:rStyle w:val="Hyperlink"/>
          </w:rPr>
          <w:t xml:space="preserve">investors.globelifeinsurance.com</w:t>
        </w:r>
      </w:hyperlink>
      <w:r>
        <w:t xml:space="preserve">)</w:t>
      </w:r>
    </w:p>
    <w:p>
      <w:pPr>
        <w:pStyle w:val="BodyText"/>
      </w:pPr>
      <w:r>
        <w:rPr>
          <w:b/>
          <w:bCs/>
        </w:rPr>
        <w:t xml:space="preserve">Investor test:</w:t>
      </w:r>
      <w:r>
        <w:t xml:space="preserve"> </w:t>
      </w:r>
      <w:r>
        <w:t xml:space="preserve">Q2 should show a meaningful step-up in United American profitability. Strong sales without corresponding margin improvement would raise questions about medical utilization, pricing adequacy or adverse selection. Conversely, a margin approaching or exceeding management’s 10% expectation would be one of the most important bullish signals in the report.</w:t>
      </w:r>
    </w:p>
    <w:bookmarkEnd w:id="15"/>
    <w:bookmarkStart w:id="16" w:name="X3703da619fbf337de92613ae7ff62dac5669b5f"/>
    <w:p>
      <w:pPr>
        <w:pStyle w:val="Heading3"/>
      </w:pPr>
      <w:r>
        <w:t xml:space="preserve">2. American Income agent retention is the main operating risk</w:t>
      </w:r>
    </w:p>
    <w:p>
      <w:pPr>
        <w:pStyle w:val="FirstParagraph"/>
      </w:pPr>
      <w:r>
        <w:t xml:space="preserve">American Income Life, Globe Life’s largest life distribution operation, produced respectable Q1 results despite a weaker agency count:</w:t>
      </w:r>
    </w:p>
    <w:p>
      <w:pPr>
        <w:pStyle w:val="Compact"/>
        <w:numPr>
          <w:ilvl w:val="0"/>
          <w:numId w:val="1002"/>
        </w:numPr>
      </w:pPr>
      <w:r>
        <w:t xml:space="preserve">Life premium:</w:t>
      </w:r>
      <w:r>
        <w:t xml:space="preserve"> </w:t>
      </w:r>
      <w:r>
        <w:rPr>
          <w:b/>
          <w:bCs/>
        </w:rPr>
        <w:t xml:space="preserve">+5%</w:t>
      </w:r>
    </w:p>
    <w:p>
      <w:pPr>
        <w:pStyle w:val="Compact"/>
        <w:numPr>
          <w:ilvl w:val="0"/>
          <w:numId w:val="1002"/>
        </w:numPr>
      </w:pPr>
      <w:r>
        <w:t xml:space="preserve">Life net sales:</w:t>
      </w:r>
      <w:r>
        <w:t xml:space="preserve"> </w:t>
      </w:r>
      <w:r>
        <w:rPr>
          <w:b/>
          <w:bCs/>
        </w:rPr>
        <w:t xml:space="preserve">+3%</w:t>
      </w:r>
    </w:p>
    <w:p>
      <w:pPr>
        <w:pStyle w:val="Compact"/>
        <w:numPr>
          <w:ilvl w:val="0"/>
          <w:numId w:val="1002"/>
        </w:numPr>
      </w:pPr>
      <w:r>
        <w:t xml:space="preserve">Life underwriting margin:</w:t>
      </w:r>
      <w:r>
        <w:t xml:space="preserve"> </w:t>
      </w:r>
      <w:r>
        <w:rPr>
          <w:b/>
          <w:bCs/>
        </w:rPr>
        <w:t xml:space="preserve">+7%</w:t>
      </w:r>
    </w:p>
    <w:p>
      <w:pPr>
        <w:pStyle w:val="Compact"/>
        <w:numPr>
          <w:ilvl w:val="0"/>
          <w:numId w:val="1002"/>
        </w:numPr>
      </w:pPr>
      <w:r>
        <w:t xml:space="preserve">Average producing agent count:</w:t>
      </w:r>
      <w:r>
        <w:t xml:space="preserve"> </w:t>
      </w:r>
      <w:r>
        <w:rPr>
          <w:b/>
          <w:bCs/>
        </w:rPr>
        <w:t xml:space="preserve">–4%</w:t>
      </w:r>
    </w:p>
    <w:p>
      <w:pPr>
        <w:pStyle w:val="FirstParagraph"/>
      </w:pPr>
      <w:r>
        <w:t xml:space="preserve">The sales performance came from improved productivity among existing agents, but that cannot indefinitely substitute for agency growth. Management attributed the decline primarily to weaker retention among newer agents and changed middle-management compensation at the beginning of Q2 to emphasize recruiting and retention. (</w:t>
      </w:r>
      <w:hyperlink r:id="rId14">
        <w:r>
          <w:rPr>
            <w:rStyle w:val="Hyperlink"/>
          </w:rPr>
          <w:t xml:space="preserve">investors.globelifeinsurance.com</w:t>
        </w:r>
      </w:hyperlink>
      <w:r>
        <w:t xml:space="preserve">)</w:t>
      </w:r>
    </w:p>
    <w:p>
      <w:pPr>
        <w:pStyle w:val="BodyText"/>
      </w:pPr>
      <w:r>
        <w:rPr>
          <w:b/>
          <w:bCs/>
        </w:rPr>
        <w:t xml:space="preserve">Investor test:</w:t>
      </w:r>
      <w:r>
        <w:t xml:space="preserve"> </w:t>
      </w:r>
      <w:r>
        <w:t xml:space="preserve">The market should look beyond the year-over-year agent-count number and focus on sequential trends, new-agent retention and management’s confidence in achieving low-single-digit full-year growth. Stabilization would validate the compensation changes. Another pronounced decline would put future life-sales growth at risk.</w:t>
      </w:r>
    </w:p>
    <w:p>
      <w:pPr>
        <w:pStyle w:val="BodyText"/>
      </w:pPr>
      <w:r>
        <w:t xml:space="preserve">Relatedly, Q1 American Income lapse rates were elevated relative to recent experience. Management called this a fluctuation but acknowledged that lapse rates across the company would likely remain above pre-pandemic levels because of economic pressure on policyholders. (</w:t>
      </w:r>
      <w:hyperlink r:id="rId12">
        <w:r>
          <w:rPr>
            <w:rStyle w:val="Hyperlink"/>
          </w:rPr>
          <w:t xml:space="preserve">investors.globelifeinsurance.com</w:t>
        </w:r>
      </w:hyperlink>
      <w:r>
        <w:t xml:space="preserve">)</w:t>
      </w:r>
    </w:p>
    <w:bookmarkEnd w:id="16"/>
    <w:bookmarkStart w:id="17" w:name="X7051d2110edf44c37ae425774daf32b3503b43b"/>
    <w:p>
      <w:pPr>
        <w:pStyle w:val="Heading3"/>
      </w:pPr>
      <w:r>
        <w:t xml:space="preserve">3. Q2 life margins should be ordinary—the Q3 assumption update is the catalyst</w:t>
      </w:r>
    </w:p>
    <w:p>
      <w:pPr>
        <w:pStyle w:val="FirstParagraph"/>
      </w:pPr>
      <w:r>
        <w:t xml:space="preserve">Management explicitly guided to a life underwriting margin of approximately</w:t>
      </w:r>
      <w:r>
        <w:t xml:space="preserve"> </w:t>
      </w:r>
      <w:r>
        <w:rPr>
          <w:b/>
          <w:bCs/>
        </w:rPr>
        <w:t xml:space="preserve">41% in Q2</w:t>
      </w:r>
      <w:r>
        <w:t xml:space="preserve">, with a much larger Q3 margin because of the annual update to mortality and other policy assumptions. Favorable mortality trends drove Q1 life policy obligations lower and underpin management’s expectation for a</w:t>
      </w:r>
      <w:r>
        <w:t xml:space="preserve"> </w:t>
      </w:r>
      <m:oMath>
        <m:r>
          <m:t>70</m:t>
        </m:r>
        <m:r>
          <m:rPr>
            <m:sty m:val="p"/>
          </m:rPr>
          <m:t>–</m:t>
        </m:r>
      </m:oMath>
      <w:r>
        <w:rPr>
          <w:b/>
          <w:bCs/>
        </w:rPr>
        <w:t xml:space="preserve">110 million pretax Q3 assumption-update benefit</w:t>
      </w:r>
      <w:r>
        <w:t xml:space="preserve">. (</w:t>
      </w:r>
      <w:hyperlink r:id="rId12">
        <w:r>
          <w:rPr>
            <w:rStyle w:val="Hyperlink"/>
          </w:rPr>
          <w:t xml:space="preserve">investors.globelifeinsurance.com</w:t>
        </w:r>
      </w:hyperlink>
      <w:r>
        <w:t xml:space="preserve">)</w:t>
      </w:r>
    </w:p>
    <w:p>
      <w:pPr>
        <w:pStyle w:val="BodyText"/>
      </w:pPr>
      <w:r>
        <w:t xml:space="preserve">Accordingly, investors should not interpret a roughly flat 41% Q2 life margin as disappointing. More important questions are:</w:t>
      </w:r>
    </w:p>
    <w:p>
      <w:pPr>
        <w:pStyle w:val="Compact"/>
        <w:numPr>
          <w:ilvl w:val="0"/>
          <w:numId w:val="1003"/>
        </w:numPr>
      </w:pPr>
      <w:r>
        <w:t xml:space="preserve">Did favorable mortality continue?</w:t>
      </w:r>
    </w:p>
    <w:p>
      <w:pPr>
        <w:pStyle w:val="Compact"/>
        <w:numPr>
          <w:ilvl w:val="0"/>
          <w:numId w:val="1003"/>
        </w:numPr>
      </w:pPr>
      <w:r>
        <w:t xml:space="preserve">Is the expected Q3 benefit still</w:t>
      </w:r>
      <w:r>
        <w:t xml:space="preserve"> </w:t>
      </w:r>
      <m:oMath>
        <m:r>
          <m:t>70</m:t>
        </m:r>
        <m:r>
          <m:rPr>
            <m:sty m:val="p"/>
          </m:rPr>
          <m:t>–</m:t>
        </m:r>
      </m:oMath>
      <w:r>
        <w:t xml:space="preserve">110 million?</w:t>
      </w:r>
    </w:p>
    <w:p>
      <w:pPr>
        <w:pStyle w:val="Compact"/>
        <w:numPr>
          <w:ilvl w:val="0"/>
          <w:numId w:val="1003"/>
        </w:numPr>
      </w:pPr>
      <w:r>
        <w:t xml:space="preserve">Does management still expect a 49%–54% Q3 life margin?</w:t>
      </w:r>
    </w:p>
    <w:p>
      <w:pPr>
        <w:pStyle w:val="Compact"/>
        <w:numPr>
          <w:ilvl w:val="0"/>
          <w:numId w:val="1003"/>
        </w:numPr>
      </w:pPr>
      <w:r>
        <w:t xml:space="preserve">Is normalized life profitability holding near 41%?</w:t>
      </w:r>
    </w:p>
    <w:p>
      <w:pPr>
        <w:pStyle w:val="Compact"/>
        <w:numPr>
          <w:ilvl w:val="0"/>
          <w:numId w:val="1003"/>
        </w:numPr>
      </w:pPr>
      <w:r>
        <w:t xml:space="preserve">Are lapses or acquisition-cost amortization offsetting mortality gains?</w:t>
      </w:r>
    </w:p>
    <w:p>
      <w:pPr>
        <w:pStyle w:val="FirstParagraph"/>
      </w:pPr>
      <w:r>
        <w:t xml:space="preserve">Any increase in the Q3 benefit range could support another guidance raise. A narrowing toward the low end would probably overshadow an otherwise acceptable Q2 EPS result.</w:t>
      </w:r>
    </w:p>
    <w:bookmarkEnd w:id="17"/>
    <w:bookmarkStart w:id="18" w:name="X117945a7b24fd1387301bffdd8e1effa8f4eb56"/>
    <w:p>
      <w:pPr>
        <w:pStyle w:val="Heading3"/>
      </w:pPr>
      <w:r>
        <w:t xml:space="preserve">4. Guidance quality matters more than a small EPS beat</w:t>
      </w:r>
    </w:p>
    <w:p>
      <w:pPr>
        <w:pStyle w:val="FirstParagraph"/>
      </w:pPr>
      <w:r>
        <w:t xml:space="preserve">The</w:t>
      </w:r>
      <w:r>
        <w:t xml:space="preserve"> </w:t>
      </w:r>
      <m:oMath>
        <m:r>
          <m:t>15.40</m:t>
        </m:r>
        <m:r>
          <m:rPr>
            <m:sty m:val="p"/>
          </m:rPr>
          <m:t>–</m:t>
        </m:r>
      </m:oMath>
      <w:r>
        <w:t xml:space="preserve">15.90 operating-EPS range includes a meaningful Q3 assumption benefit. Management nevertheless estimated that normalized EPS growth—excluding assumption updates in both periods—would be approximately</w:t>
      </w:r>
      <w:r>
        <w:t xml:space="preserve"> </w:t>
      </w:r>
      <w:r>
        <w:rPr>
          <w:b/>
          <w:bCs/>
        </w:rPr>
        <w:t xml:space="preserve">11% at the midpoint</w:t>
      </w:r>
      <w:r>
        <w:t xml:space="preserve">. (</w:t>
      </w:r>
      <w:hyperlink r:id="rId12">
        <w:r>
          <w:rPr>
            <w:rStyle w:val="Hyperlink"/>
          </w:rPr>
          <w:t xml:space="preserve">investors.globelifeinsurance.com</w:t>
        </w:r>
      </w:hyperlink>
      <w:r>
        <w:t xml:space="preserve">)</w:t>
      </w:r>
    </w:p>
    <w:p>
      <w:pPr>
        <w:pStyle w:val="BodyText"/>
      </w:pPr>
      <w:r>
        <w:t xml:space="preserve">A high-quality reaffirmation would therefore include:</w:t>
      </w:r>
    </w:p>
    <w:p>
      <w:pPr>
        <w:pStyle w:val="Compact"/>
        <w:numPr>
          <w:ilvl w:val="0"/>
          <w:numId w:val="1004"/>
        </w:numPr>
      </w:pPr>
      <w:r>
        <w:t xml:space="preserve">Continued favorable mortality.</w:t>
      </w:r>
    </w:p>
    <w:p>
      <w:pPr>
        <w:pStyle w:val="Compact"/>
        <w:numPr>
          <w:ilvl w:val="0"/>
          <w:numId w:val="1004"/>
        </w:numPr>
      </w:pPr>
      <w:r>
        <w:t xml:space="preserve">Visible United American margin improvement.</w:t>
      </w:r>
    </w:p>
    <w:p>
      <w:pPr>
        <w:pStyle w:val="Compact"/>
        <w:numPr>
          <w:ilvl w:val="0"/>
          <w:numId w:val="1004"/>
        </w:numPr>
      </w:pPr>
      <w:r>
        <w:t xml:space="preserve">No deterioration in persistency beyond expectations.</w:t>
      </w:r>
    </w:p>
    <w:p>
      <w:pPr>
        <w:pStyle w:val="Compact"/>
        <w:numPr>
          <w:ilvl w:val="0"/>
          <w:numId w:val="1004"/>
        </w:numPr>
      </w:pPr>
      <w:r>
        <w:t xml:space="preserve">Stable or improving life-sales trends.</w:t>
      </w:r>
    </w:p>
    <w:p>
      <w:pPr>
        <w:pStyle w:val="Compact"/>
        <w:numPr>
          <w:ilvl w:val="0"/>
          <w:numId w:val="1004"/>
        </w:numPr>
      </w:pPr>
      <w:r>
        <w:t xml:space="preserve">Investment income at least in line with the raised outlook.</w:t>
      </w:r>
    </w:p>
    <w:p>
      <w:pPr>
        <w:pStyle w:val="Compact"/>
        <w:numPr>
          <w:ilvl w:val="0"/>
          <w:numId w:val="1004"/>
        </w:numPr>
      </w:pPr>
      <w:r>
        <w:t xml:space="preserve">The</w:t>
      </w:r>
      <w:r>
        <w:t xml:space="preserve"> </w:t>
      </w:r>
      <m:oMath>
        <m:r>
          <m:t>560</m:t>
        </m:r>
        <m:r>
          <m:rPr>
            <m:sty m:val="p"/>
          </m:rPr>
          <m:t>–</m:t>
        </m:r>
      </m:oMath>
      <w:r>
        <w:t xml:space="preserve">610 million repurchase plan remaining intact.</w:t>
      </w:r>
    </w:p>
    <w:p>
      <w:pPr>
        <w:pStyle w:val="FirstParagraph"/>
      </w:pPr>
      <w:r>
        <w:t xml:space="preserve">A headline EPS beat driven mostly by variable limited-partnership income or a lower share count would be less valuable than a clean operating quarter accompanied by stronger health margins and stable distribution metrics.</w:t>
      </w:r>
    </w:p>
    <w:bookmarkEnd w:id="18"/>
    <w:bookmarkStart w:id="20" w:name="Xf7974c76841b234e232f224402f38ee99faf6f3"/>
    <w:p>
      <w:pPr>
        <w:pStyle w:val="Heading3"/>
      </w:pPr>
      <w:r>
        <w:t xml:space="preserve">5. Repurchases remain powerful, but the stock is now more expensive</w:t>
      </w:r>
    </w:p>
    <w:p>
      <w:pPr>
        <w:pStyle w:val="FirstParagraph"/>
      </w:pPr>
      <w:r>
        <w:t xml:space="preserve">Globe Life repurchased roughly</w:t>
      </w:r>
      <w:r>
        <w:t xml:space="preserve"> </w:t>
      </w:r>
      <w:r>
        <w:rPr>
          <w:b/>
          <w:bCs/>
        </w:rPr>
        <w:t xml:space="preserve">1.4 million shares for $203 million in Q1</w:t>
      </w:r>
      <w:r>
        <w:t xml:space="preserve">, at an average price of $141.24, and raised its full-year repurchase outlook to</w:t>
      </w:r>
      <w:r>
        <w:t xml:space="preserve"> </w:t>
      </w:r>
      <m:oMath>
        <m:r>
          <m:t>560</m:t>
        </m:r>
        <m:r>
          <m:rPr>
            <m:sty m:val="p"/>
          </m:rPr>
          <m:t>–</m:t>
        </m:r>
      </m:oMath>
      <w:r>
        <w:t xml:space="preserve">610 million. Diluted shares in Q1 were down roughly 6% year over year, helping turn 5% growth in operating income into 12% operating-EPS growth. (</w:t>
      </w:r>
      <w:hyperlink r:id="rId14">
        <w:r>
          <w:rPr>
            <w:rStyle w:val="Hyperlink"/>
          </w:rPr>
          <w:t xml:space="preserve">investors.globelifeinsurance.com</w:t>
        </w:r>
      </w:hyperlink>
      <w:r>
        <w:t xml:space="preserve">)</w:t>
      </w:r>
    </w:p>
    <w:p>
      <w:pPr>
        <w:pStyle w:val="BodyText"/>
      </w:pPr>
      <w:r>
        <w:t xml:space="preserve">The issue going into Q2 is price. GL now trades more than 30% above its Q1 average repurchase price. Management may still complete the dollar authorization, but each dollar now retires fewer shares.</w:t>
      </w:r>
    </w:p>
    <w:p>
      <w:pPr>
        <w:pStyle w:val="BodyText"/>
      </w:pPr>
      <w:r>
        <w:t xml:space="preserve">Investors should watch:</w:t>
      </w:r>
    </w:p>
    <w:p>
      <w:pPr>
        <w:pStyle w:val="Compact"/>
        <w:numPr>
          <w:ilvl w:val="0"/>
          <w:numId w:val="1005"/>
        </w:numPr>
      </w:pPr>
      <w:r>
        <w:t xml:space="preserve">Q2 repurchase dollars and average purchase price.</w:t>
      </w:r>
    </w:p>
    <w:p>
      <w:pPr>
        <w:pStyle w:val="Compact"/>
        <w:numPr>
          <w:ilvl w:val="0"/>
          <w:numId w:val="1005"/>
        </w:numPr>
      </w:pPr>
      <w:r>
        <w:t xml:space="preserve">Any change to the full-year authorization.</w:t>
      </w:r>
    </w:p>
    <w:p>
      <w:pPr>
        <w:pStyle w:val="Compact"/>
        <w:numPr>
          <w:ilvl w:val="0"/>
          <w:numId w:val="1005"/>
        </w:numPr>
      </w:pPr>
      <w:r>
        <w:t xml:space="preserve">Updated parent-company excess-cash-flow expectations.</w:t>
      </w:r>
    </w:p>
    <w:p>
      <w:pPr>
        <w:pStyle w:val="Compact"/>
        <w:numPr>
          <w:ilvl w:val="0"/>
          <w:numId w:val="1005"/>
        </w:numPr>
      </w:pPr>
      <w:r>
        <w:t xml:space="preserve">Whether the recent debt refinancing affected the timing or source of capital returns.</w:t>
      </w:r>
    </w:p>
    <w:p>
      <w:pPr>
        <w:pStyle w:val="FirstParagraph"/>
      </w:pPr>
      <w:r>
        <w:t xml:space="preserve">In June, Globe Life increased its term loan from</w:t>
      </w:r>
      <w:r>
        <w:t xml:space="preserve"> </w:t>
      </w:r>
      <w:r>
        <w:rPr>
          <w:b/>
          <w:bCs/>
        </w:rPr>
        <w:t xml:space="preserve">$250 million to $450 million</w:t>
      </w:r>
      <w:r>
        <w:t xml:space="preserve">, extended its maturity to June 2029 and extended its revolving credit facility to June 2031. The call should clarify the incremental borrowing’s intended use and its implications for commercial paper, liquidity and interest expense. (</w:t>
      </w:r>
      <w:hyperlink r:id="rId19">
        <w:r>
          <w:rPr>
            <w:rStyle w:val="Hyperlink"/>
          </w:rPr>
          <w:t xml:space="preserve">sec.gov</w:t>
        </w:r>
      </w:hyperlink>
      <w:r>
        <w:t xml:space="preserve">)</w:t>
      </w:r>
    </w:p>
    <w:bookmarkEnd w:id="20"/>
    <w:bookmarkStart w:id="22" w:name="Xc4b0dccc2d9c5d283c408c195032260bedfd938"/>
    <w:p>
      <w:pPr>
        <w:pStyle w:val="Heading3"/>
      </w:pPr>
      <w:r>
        <w:t xml:space="preserve">6. Bermuda could become a longer-term capital catalyst</w:t>
      </w:r>
    </w:p>
    <w:p>
      <w:pPr>
        <w:pStyle w:val="FirstParagraph"/>
      </w:pPr>
      <w:r>
        <w:t xml:space="preserve">Globe Life formed and licensed a Bermuda Class C reinsurer in late 2025 and executed an initial affiliated reinsurance transaction. The strategy is intended to reinsure portions of new and in-force business and potentially increase parent-company cash generation as the block grows. (</w:t>
      </w:r>
      <w:hyperlink r:id="rId21">
        <w:r>
          <w:rPr>
            <w:rStyle w:val="Hyperlink"/>
          </w:rPr>
          <w:t xml:space="preserve">investors.globelifeinsurance.com</w:t>
        </w:r>
      </w:hyperlink>
      <w:r>
        <w:t xml:space="preserve">)</w:t>
      </w:r>
    </w:p>
    <w:p>
      <w:pPr>
        <w:pStyle w:val="BodyText"/>
      </w:pPr>
      <w:r>
        <w:t xml:space="preserve">On the Q1 call, management said it expected to file for reciprocal-jurisdiction treatment during Q2 and promised a more substantial update on this call. Current 2026 cash-flow and repurchase guidance does</w:t>
      </w:r>
      <w:r>
        <w:t xml:space="preserve"> </w:t>
      </w:r>
      <w:r>
        <w:rPr>
          <w:b/>
          <w:bCs/>
        </w:rPr>
        <w:t xml:space="preserve">not</w:t>
      </w:r>
      <w:r>
        <w:t xml:space="preserve"> </w:t>
      </w:r>
      <w:r>
        <w:t xml:space="preserve">assume incremental parent cash flows from the Bermuda entity. (</w:t>
      </w:r>
      <w:hyperlink r:id="rId12">
        <w:r>
          <w:rPr>
            <w:rStyle w:val="Hyperlink"/>
          </w:rPr>
          <w:t xml:space="preserve">investors.globelifeinsurance.com</w:t>
        </w:r>
      </w:hyperlink>
      <w:r>
        <w:t xml:space="preserve">)</w:t>
      </w:r>
    </w:p>
    <w:p>
      <w:pPr>
        <w:pStyle w:val="BodyText"/>
      </w:pPr>
      <w:r>
        <w:t xml:space="preserve">That makes Bermuda potential upside rather than something needed to meet current guidance. Investors should listen for:</w:t>
      </w:r>
    </w:p>
    <w:p>
      <w:pPr>
        <w:pStyle w:val="Compact"/>
        <w:numPr>
          <w:ilvl w:val="0"/>
          <w:numId w:val="1006"/>
        </w:numPr>
      </w:pPr>
      <w:r>
        <w:t xml:space="preserve">Whether the reciprocal-jurisdiction filing occurred.</w:t>
      </w:r>
    </w:p>
    <w:p>
      <w:pPr>
        <w:pStyle w:val="Compact"/>
        <w:numPr>
          <w:ilvl w:val="0"/>
          <w:numId w:val="1006"/>
        </w:numPr>
      </w:pPr>
      <w:r>
        <w:t xml:space="preserve">Regulatory timing.</w:t>
      </w:r>
    </w:p>
    <w:p>
      <w:pPr>
        <w:pStyle w:val="Compact"/>
        <w:numPr>
          <w:ilvl w:val="0"/>
          <w:numId w:val="1006"/>
        </w:numPr>
      </w:pPr>
      <w:r>
        <w:t xml:space="preserve">The expected pace of additional reinsurance transactions.</w:t>
      </w:r>
    </w:p>
    <w:p>
      <w:pPr>
        <w:pStyle w:val="Compact"/>
        <w:numPr>
          <w:ilvl w:val="0"/>
          <w:numId w:val="1006"/>
        </w:numPr>
      </w:pPr>
      <w:r>
        <w:t xml:space="preserve">Capital required to scale the entity.</w:t>
      </w:r>
    </w:p>
    <w:p>
      <w:pPr>
        <w:pStyle w:val="Compact"/>
        <w:numPr>
          <w:ilvl w:val="0"/>
          <w:numId w:val="1006"/>
        </w:numPr>
      </w:pPr>
      <w:r>
        <w:t xml:space="preserve">When incremental parent cash flow could become material.</w:t>
      </w:r>
    </w:p>
    <w:bookmarkEnd w:id="22"/>
    <w:bookmarkEnd w:id="23"/>
    <w:bookmarkStart w:id="24" w:name="investment-portfolio-and-capital"/>
    <w:p>
      <w:pPr>
        <w:pStyle w:val="Heading2"/>
      </w:pPr>
      <w:r>
        <w:t xml:space="preserve">Investment portfolio and capital</w:t>
      </w:r>
    </w:p>
    <w:p>
      <w:pPr>
        <w:pStyle w:val="FirstParagraph"/>
      </w:pPr>
      <w:r>
        <w:t xml:space="preserve">Globe Life’s investment position entered Q2 in good shape:</w:t>
      </w:r>
    </w:p>
    <w:p>
      <w:pPr>
        <w:pStyle w:val="Compact"/>
        <w:numPr>
          <w:ilvl w:val="0"/>
          <w:numId w:val="1007"/>
        </w:numPr>
      </w:pPr>
      <w:r>
        <w:t xml:space="preserve">Q1 net investment income increased 3%.</w:t>
      </w:r>
    </w:p>
    <w:p>
      <w:pPr>
        <w:pStyle w:val="Compact"/>
        <w:numPr>
          <w:ilvl w:val="0"/>
          <w:numId w:val="1007"/>
        </w:numPr>
      </w:pPr>
      <w:r>
        <w:t xml:space="preserve">New fixed-maturity purchases yielded 6.2%, above the portfolio yield of 5.32%.</w:t>
      </w:r>
    </w:p>
    <w:p>
      <w:pPr>
        <w:pStyle w:val="Compact"/>
        <w:numPr>
          <w:ilvl w:val="0"/>
          <w:numId w:val="1007"/>
        </w:numPr>
      </w:pPr>
      <w:r>
        <w:t xml:space="preserve">Ninety-seven percent of fixed maturities were investment grade.</w:t>
      </w:r>
    </w:p>
    <w:p>
      <w:pPr>
        <w:pStyle w:val="Compact"/>
        <w:numPr>
          <w:ilvl w:val="0"/>
          <w:numId w:val="1007"/>
        </w:numPr>
      </w:pPr>
      <w:r>
        <w:t xml:space="preserve">Below-investment-grade exposure was approximately 3%.</w:t>
      </w:r>
    </w:p>
    <w:p>
      <w:pPr>
        <w:pStyle w:val="Compact"/>
        <w:numPr>
          <w:ilvl w:val="0"/>
          <w:numId w:val="1007"/>
        </w:numPr>
      </w:pPr>
      <w:r>
        <w:t xml:space="preserve">Excess investment income rose only 2% in dollars, but 10% per share because of repurchases. (</w:t>
      </w:r>
      <w:hyperlink r:id="rId14">
        <w:r>
          <w:rPr>
            <w:rStyle w:val="Hyperlink"/>
          </w:rPr>
          <w:t xml:space="preserve">investors.globelifeinsurance.com</w:t>
        </w:r>
      </w:hyperlink>
      <w:r>
        <w:t xml:space="preserve">)</w:t>
      </w:r>
    </w:p>
    <w:p>
      <w:pPr>
        <w:pStyle w:val="FirstParagraph"/>
      </w:pPr>
      <w:r>
        <w:t xml:space="preserve">The main watch items are limited-partnership income, the pace and yield of new investments, credit migration and any changes in commercial real-estate exposure. Management previously expected 4%–4.5% full-year growth in excess investment income.</w:t>
      </w:r>
    </w:p>
    <w:p>
      <w:pPr>
        <w:pStyle w:val="BodyText"/>
      </w:pPr>
      <w:r>
        <w:t xml:space="preserve">Capital does not appear to be a near-term constraint. Globe Life ended 2025 with a consolidated U.S. company-action-level RBC ratio of 316%, within its 300%–320% target. (</w:t>
      </w:r>
      <w:hyperlink r:id="rId12">
        <w:r>
          <w:rPr>
            <w:rStyle w:val="Hyperlink"/>
          </w:rPr>
          <w:t xml:space="preserve">investors.globelifeinsurance.com</w:t>
        </w:r>
      </w:hyperlink>
      <w:r>
        <w:t xml:space="preserve">)</w:t>
      </w:r>
    </w:p>
    <w:bookmarkEnd w:id="24"/>
    <w:bookmarkStart w:id="27" w:name="legal-overhang"/>
    <w:p>
      <w:pPr>
        <w:pStyle w:val="Heading2"/>
      </w:pPr>
      <w:r>
        <w:t xml:space="preserve">Legal overhang</w:t>
      </w:r>
    </w:p>
    <w:p>
      <w:pPr>
        <w:pStyle w:val="FirstParagraph"/>
      </w:pPr>
      <w:r>
        <w:t xml:space="preserve">The SEC and Department of Justice investigations that weighed on GL in 2024–2025 were closed in July 2025 without enforcement action. That substantially reduced the existential portion of the prior overhang. (</w:t>
      </w:r>
      <w:hyperlink r:id="rId25">
        <w:r>
          <w:rPr>
            <w:rStyle w:val="Hyperlink"/>
          </w:rPr>
          <w:t xml:space="preserve">sec.gov</w:t>
        </w:r>
      </w:hyperlink>
      <w:r>
        <w:t xml:space="preserve">)</w:t>
      </w:r>
    </w:p>
    <w:p>
      <w:pPr>
        <w:pStyle w:val="BodyText"/>
      </w:pPr>
      <w:r>
        <w:t xml:space="preserve">Shareholder and derivative litigation remains outstanding, however. Globe Life’s Q1 filing said management did not believe currently known litigation was reasonably likely to have a material adverse effect, while acknowledging the inherent uncertainty of legal outcomes. (</w:t>
      </w:r>
      <w:hyperlink r:id="rId26">
        <w:r>
          <w:rPr>
            <w:rStyle w:val="Hyperlink"/>
          </w:rPr>
          <w:t xml:space="preserve">sec.gov</w:t>
        </w:r>
      </w:hyperlink>
      <w:r>
        <w:t xml:space="preserve">)</w:t>
      </w:r>
    </w:p>
    <w:p>
      <w:pPr>
        <w:pStyle w:val="BodyText"/>
      </w:pPr>
      <w:r>
        <w:t xml:space="preserve">Unless there is a new development, litigation is unlikely to drive Q2 operating results, but any update on unresolved employment, shareholder or data-breach matters warrants attention.</w:t>
      </w:r>
    </w:p>
    <w:bookmarkEnd w:id="27"/>
    <w:bookmarkStart w:id="31" w:name="potential-reaction-framework"/>
    <w:p>
      <w:pPr>
        <w:pStyle w:val="Heading2"/>
      </w:pPr>
      <w:r>
        <w:t xml:space="preserve">Potential reaction framework</w:t>
      </w:r>
    </w:p>
    <w:bookmarkStart w:id="28" w:name="bullish-outcome"/>
    <w:p>
      <w:pPr>
        <w:pStyle w:val="Heading3"/>
      </w:pPr>
      <w:r>
        <w:t xml:space="preserve">Bullish outcome</w:t>
      </w:r>
    </w:p>
    <w:p>
      <w:pPr>
        <w:pStyle w:val="Compact"/>
        <w:numPr>
          <w:ilvl w:val="0"/>
          <w:numId w:val="1008"/>
        </w:numPr>
      </w:pPr>
      <w:r>
        <w:t xml:space="preserve">Operating EPS above roughly</w:t>
      </w:r>
      <w:r>
        <w:t xml:space="preserve"> </w:t>
      </w:r>
      <w:r>
        <w:rPr>
          <w:b/>
          <w:bCs/>
        </w:rPr>
        <w:t xml:space="preserve">$3.70</w:t>
      </w:r>
      <w:r>
        <w:t xml:space="preserve">.</w:t>
      </w:r>
    </w:p>
    <w:p>
      <w:pPr>
        <w:pStyle w:val="Compact"/>
        <w:numPr>
          <w:ilvl w:val="0"/>
          <w:numId w:val="1008"/>
        </w:numPr>
      </w:pPr>
      <w:r>
        <w:t xml:space="preserve">United American margin approaches or exceeds 10%.</w:t>
      </w:r>
    </w:p>
    <w:p>
      <w:pPr>
        <w:pStyle w:val="Compact"/>
        <w:numPr>
          <w:ilvl w:val="0"/>
          <w:numId w:val="1008"/>
        </w:numPr>
      </w:pPr>
      <w:r>
        <w:t xml:space="preserve">American Income agent count stabilizes sequentially.</w:t>
      </w:r>
    </w:p>
    <w:p>
      <w:pPr>
        <w:pStyle w:val="Compact"/>
        <w:numPr>
          <w:ilvl w:val="0"/>
          <w:numId w:val="1008"/>
        </w:numPr>
      </w:pPr>
      <w:r>
        <w:t xml:space="preserve">Mortality remains favorable and the Q3 assumption benefit is maintained or raised.</w:t>
      </w:r>
    </w:p>
    <w:p>
      <w:pPr>
        <w:pStyle w:val="Compact"/>
        <w:numPr>
          <w:ilvl w:val="0"/>
          <w:numId w:val="1008"/>
        </w:numPr>
      </w:pPr>
      <w:r>
        <w:t xml:space="preserve">Full-year EPS and repurchase guidance increase.</w:t>
      </w:r>
    </w:p>
    <w:p>
      <w:pPr>
        <w:pStyle w:val="Compact"/>
        <w:numPr>
          <w:ilvl w:val="0"/>
          <w:numId w:val="1008"/>
        </w:numPr>
      </w:pPr>
      <w:r>
        <w:t xml:space="preserve">Concrete progress on Bermuda capital generation.</w:t>
      </w:r>
    </w:p>
    <w:bookmarkEnd w:id="28"/>
    <w:bookmarkStart w:id="29" w:name="in-line-outcome"/>
    <w:p>
      <w:pPr>
        <w:pStyle w:val="Heading3"/>
      </w:pPr>
      <w:r>
        <w:t xml:space="preserve">In-line outcome</w:t>
      </w:r>
    </w:p>
    <w:p>
      <w:pPr>
        <w:pStyle w:val="Compact"/>
        <w:numPr>
          <w:ilvl w:val="0"/>
          <w:numId w:val="1009"/>
        </w:numPr>
      </w:pPr>
      <w:r>
        <w:t xml:space="preserve">EPS of approximately</w:t>
      </w:r>
      <w:r>
        <w:t xml:space="preserve"> </w:t>
      </w:r>
      <m:oMath>
        <m:r>
          <m:t>3.64</m:t>
        </m:r>
        <m:r>
          <m:rPr>
            <m:sty m:val="p"/>
          </m:rPr>
          <m:t>–</m:t>
        </m:r>
      </m:oMath>
      <w:r>
        <w:rPr>
          <w:b/>
          <w:bCs/>
        </w:rPr>
        <w:t xml:space="preserve">3.70</w:t>
      </w:r>
      <w:r>
        <w:t xml:space="preserve">.</w:t>
      </w:r>
    </w:p>
    <w:p>
      <w:pPr>
        <w:pStyle w:val="Compact"/>
        <w:numPr>
          <w:ilvl w:val="0"/>
          <w:numId w:val="1009"/>
        </w:numPr>
      </w:pPr>
      <w:r>
        <w:t xml:space="preserve">Life margin near 41%.</w:t>
      </w:r>
    </w:p>
    <w:p>
      <w:pPr>
        <w:pStyle w:val="Compact"/>
        <w:numPr>
          <w:ilvl w:val="0"/>
          <w:numId w:val="1009"/>
        </w:numPr>
      </w:pPr>
      <w:r>
        <w:t xml:space="preserve">Health margins improve as expected.</w:t>
      </w:r>
    </w:p>
    <w:p>
      <w:pPr>
        <w:pStyle w:val="Compact"/>
        <w:numPr>
          <w:ilvl w:val="0"/>
          <w:numId w:val="1009"/>
        </w:numPr>
      </w:pPr>
      <w:r>
        <w:t xml:space="preserve">American Income remains down year over year but management sees second-half stabilization.</w:t>
      </w:r>
    </w:p>
    <w:p>
      <w:pPr>
        <w:pStyle w:val="Compact"/>
        <w:numPr>
          <w:ilvl w:val="0"/>
          <w:numId w:val="1009"/>
        </w:numPr>
      </w:pPr>
      <w:r>
        <w:t xml:space="preserve">Full-year guidance is reaffirmed.</w:t>
      </w:r>
    </w:p>
    <w:p>
      <w:pPr>
        <w:pStyle w:val="Compact"/>
        <w:numPr>
          <w:ilvl w:val="0"/>
          <w:numId w:val="1009"/>
        </w:numPr>
      </w:pPr>
      <w:r>
        <w:t xml:space="preserve">No material change to the Q3 assumption-update range.</w:t>
      </w:r>
    </w:p>
    <w:bookmarkEnd w:id="29"/>
    <w:bookmarkStart w:id="30" w:name="bearish-outcome"/>
    <w:p>
      <w:pPr>
        <w:pStyle w:val="Heading3"/>
      </w:pPr>
      <w:r>
        <w:t xml:space="preserve">Bearish outcome</w:t>
      </w:r>
    </w:p>
    <w:p>
      <w:pPr>
        <w:pStyle w:val="Compact"/>
        <w:numPr>
          <w:ilvl w:val="0"/>
          <w:numId w:val="1010"/>
        </w:numPr>
      </w:pPr>
      <w:r>
        <w:t xml:space="preserve">EPS below approximately</w:t>
      </w:r>
      <w:r>
        <w:t xml:space="preserve"> </w:t>
      </w:r>
      <w:r>
        <w:rPr>
          <w:b/>
          <w:bCs/>
        </w:rPr>
        <w:t xml:space="preserve">$3.60</w:t>
      </w:r>
      <w:r>
        <w:t xml:space="preserve">.</w:t>
      </w:r>
    </w:p>
    <w:p>
      <w:pPr>
        <w:pStyle w:val="Compact"/>
        <w:numPr>
          <w:ilvl w:val="0"/>
          <w:numId w:val="1010"/>
        </w:numPr>
      </w:pPr>
      <w:r>
        <w:t xml:space="preserve">United American’s margin recovery disappoints.</w:t>
      </w:r>
    </w:p>
    <w:p>
      <w:pPr>
        <w:pStyle w:val="Compact"/>
        <w:numPr>
          <w:ilvl w:val="0"/>
          <w:numId w:val="1010"/>
        </w:numPr>
      </w:pPr>
      <w:r>
        <w:t xml:space="preserve">American Income agent count or first-year persistency deteriorates further.</w:t>
      </w:r>
    </w:p>
    <w:p>
      <w:pPr>
        <w:pStyle w:val="Compact"/>
        <w:numPr>
          <w:ilvl w:val="0"/>
          <w:numId w:val="1010"/>
        </w:numPr>
      </w:pPr>
      <w:r>
        <w:t xml:space="preserve">Management lowers or narrows the Q3 assumption benefit.</w:t>
      </w:r>
    </w:p>
    <w:p>
      <w:pPr>
        <w:pStyle w:val="Compact"/>
        <w:numPr>
          <w:ilvl w:val="0"/>
          <w:numId w:val="1010"/>
        </w:numPr>
      </w:pPr>
      <w:r>
        <w:t xml:space="preserve">Buyback expectations are tempered.</w:t>
      </w:r>
    </w:p>
    <w:p>
      <w:pPr>
        <w:pStyle w:val="Compact"/>
        <w:numPr>
          <w:ilvl w:val="0"/>
          <w:numId w:val="1010"/>
        </w:numPr>
      </w:pPr>
      <w:r>
        <w:t xml:space="preserve">Incremental borrowing is not accompanied by a clear capital-management explanation.</w:t>
      </w:r>
    </w:p>
    <w:bookmarkEnd w:id="30"/>
    <w:bookmarkEnd w:id="31"/>
    <w:bookmarkStart w:id="32" w:name="bottom-line"/>
    <w:p>
      <w:pPr>
        <w:pStyle w:val="Heading2"/>
      </w:pPr>
      <w:r>
        <w:t xml:space="preserve">Bottom line</w:t>
      </w:r>
    </w:p>
    <w:p>
      <w:pPr>
        <w:pStyle w:val="FirstParagraph"/>
      </w:pPr>
      <w:r>
        <w:t xml:space="preserve">The most important Q2 question is not whether Globe Life beats consensus by a few cents. It is whether the quarter validates the three pillars behind the stock’s rerating:</w:t>
      </w:r>
    </w:p>
    <w:p>
      <w:pPr>
        <w:pStyle w:val="Compact"/>
        <w:numPr>
          <w:ilvl w:val="0"/>
          <w:numId w:val="1011"/>
        </w:numPr>
      </w:pPr>
      <w:r>
        <w:rPr>
          <w:b/>
          <w:bCs/>
        </w:rPr>
        <w:t xml:space="preserve">Medicare Supplement growth converting into higher health margins.</w:t>
      </w:r>
    </w:p>
    <w:p>
      <w:pPr>
        <w:pStyle w:val="Compact"/>
        <w:numPr>
          <w:ilvl w:val="0"/>
          <w:numId w:val="1011"/>
        </w:numPr>
      </w:pPr>
      <w:r>
        <w:rPr>
          <w:b/>
          <w:bCs/>
        </w:rPr>
        <w:t xml:space="preserve">Favorable mortality supporting strong normalized life profitability and the Q3 assumption gain.</w:t>
      </w:r>
    </w:p>
    <w:p>
      <w:pPr>
        <w:pStyle w:val="Compact"/>
        <w:numPr>
          <w:ilvl w:val="0"/>
          <w:numId w:val="1011"/>
        </w:numPr>
      </w:pPr>
      <w:r>
        <w:rPr>
          <w:b/>
          <w:bCs/>
        </w:rPr>
        <w:t xml:space="preserve">Agent trends stabilizing sufficiently to sustain future premium growth.</w:t>
      </w:r>
    </w:p>
    <w:p>
      <w:pPr>
        <w:pStyle w:val="FirstParagraph"/>
      </w:pPr>
      <w:r>
        <w:t xml:space="preserve">A clean quarter with improving United American margins, stable American Income trends and intact guidance would support the thesis even after the stock’s strong run. The main downside risk is that expectations have moved ahead of the business: at today’s price, a merely acceptable report with no guidance upside could produce a muted or negative reaction.</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investors.globelifeinsurance.com/MediaLibraries/GlobeLifeInvestorRelations/pdfs/conference-calls/Globe-Life-Inc-Q1-2026-Earnings-Release-Call-Transcript-Apr-23%2C-2026-%28FINAL%29.pdf?ext=.pdf" TargetMode="External" /><Relationship Type="http://schemas.openxmlformats.org/officeDocument/2006/relationships/hyperlink" Id="rId14" Target="https://investors.globelifeinsurance.com/financial-reports-and-other-financial-information/2026/quarter-1/1_1st_q_2025_earnings_release_gl_final" TargetMode="External" /><Relationship Type="http://schemas.openxmlformats.org/officeDocument/2006/relationships/hyperlink" Id="rId21" Target="https://investors.globelifeinsurance.com/news-releases/2025/december/globe-life-inc-bermuda-reinsurance-affiliate-formed-and-licensed-as-a-bermuda-class-c-insurer?accessibility=true&amp;utm_source=openai" TargetMode="External" /><Relationship Type="http://schemas.openxmlformats.org/officeDocument/2006/relationships/hyperlink" Id="rId9" Target="https://investors.globelifeinsurance.com/news-releases/2026/july/globe-life-inc-announces-second-quarter-2026-earnings-release-and-conference-call" TargetMode="External" /><Relationship Type="http://schemas.openxmlformats.org/officeDocument/2006/relationships/hyperlink" Id="rId25" Target="https://www.sec.gov/Archives/edgar/data/320335/000032033525000042/gl-20250728.htm?utm_source=openai" TargetMode="External" /><Relationship Type="http://schemas.openxmlformats.org/officeDocument/2006/relationships/hyperlink" Id="rId26" Target="https://www.sec.gov/Archives/edgar/data/320335/000032033526000169/gl-20260331.htm?utm_source=openai" TargetMode="External" /><Relationship Type="http://schemas.openxmlformats.org/officeDocument/2006/relationships/hyperlink" Id="rId19" Target="https://www.sec.gov/Archives/edgar/data/320335/000032033526000198/gl-20260629.htm?utm_source=openai" TargetMode="External" /><Relationship Type="http://schemas.openxmlformats.org/officeDocument/2006/relationships/hyperlink" Id="rId10" Target="https://www.zacks.com/stock/news/2957056/what-analyst-projections-for-key-metrics-reveal-about-globe-life-gl-q2-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investors.globelifeinsurance.com/MediaLibraries/GlobeLifeInvestorRelations/pdfs/conference-calls/Globe-Life-Inc-Q1-2026-Earnings-Release-Call-Transcript-Apr-23%2C-2026-%28FINAL%29.pdf?ext=.pdf" TargetMode="External" /><Relationship Type="http://schemas.openxmlformats.org/officeDocument/2006/relationships/hyperlink" Id="rId14" Target="https://investors.globelifeinsurance.com/financial-reports-and-other-financial-information/2026/quarter-1/1_1st_q_2025_earnings_release_gl_final" TargetMode="External" /><Relationship Type="http://schemas.openxmlformats.org/officeDocument/2006/relationships/hyperlink" Id="rId21" Target="https://investors.globelifeinsurance.com/news-releases/2025/december/globe-life-inc-bermuda-reinsurance-affiliate-formed-and-licensed-as-a-bermuda-class-c-insurer?accessibility=true&amp;utm_source=openai" TargetMode="External" /><Relationship Type="http://schemas.openxmlformats.org/officeDocument/2006/relationships/hyperlink" Id="rId9" Target="https://investors.globelifeinsurance.com/news-releases/2026/july/globe-life-inc-announces-second-quarter-2026-earnings-release-and-conference-call" TargetMode="External" /><Relationship Type="http://schemas.openxmlformats.org/officeDocument/2006/relationships/hyperlink" Id="rId25" Target="https://www.sec.gov/Archives/edgar/data/320335/000032033525000042/gl-20250728.htm?utm_source=openai" TargetMode="External" /><Relationship Type="http://schemas.openxmlformats.org/officeDocument/2006/relationships/hyperlink" Id="rId26" Target="https://www.sec.gov/Archives/edgar/data/320335/000032033526000169/gl-20260331.htm?utm_source=openai" TargetMode="External" /><Relationship Type="http://schemas.openxmlformats.org/officeDocument/2006/relationships/hyperlink" Id="rId19" Target="https://www.sec.gov/Archives/edgar/data/320335/000032033526000198/gl-20260629.htm?utm_source=openai" TargetMode="External" /><Relationship Type="http://schemas.openxmlformats.org/officeDocument/2006/relationships/hyperlink" Id="rId10" Target="https://www.zacks.com/stock/news/2957056/what-analyst-projections-for-key-metrics-reveal-about-globe-life-gl-q2-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2026-07-22T00:56:58Z</dcterms:created>
  <dcterms:modified xsi:type="dcterms:W3CDTF">2026-07-22T00:56:58Z</dcterms:modified>
</cp:coreProperties>
</file>

<file path=docProps/custom.xml><?xml version="1.0" encoding="utf-8"?>
<Properties xmlns="http://schemas.openxmlformats.org/officeDocument/2006/custom-properties" xmlns:vt="http://schemas.openxmlformats.org/officeDocument/2006/docPropsVTypes"/>
</file>