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gl-earnings-predictions--2026-07-22"/>
    <w:p>
      <w:pPr>
        <w:pStyle w:val="Heading1"/>
      </w:pPr>
      <w:r>
        <w:t xml:space="preserve">GL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GL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net operating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~$3.80 vs. cons $3.74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Health underwriting margin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~$114M (25.4% of premium) vs. cons $111M (25.0% of premium)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American Income average producing-agent count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~10,950 vs. cons 11,100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net operating EPS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~$15.65 vs. cons $15.65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share-repurchase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~$585M vs. cons $585M (FY26)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GL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3Q26 life-assumption-update pre-tax benefit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~$90M vs. cons $90M (3Q26)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+0.5% (FADE)</w:t>
            </w:r>
          </w:p>
        </w:tc>
        <w:tc>
          <w:tcPr/>
          <w:p>
            <w:pPr>
              <w:pStyle w:val="Compact"/>
            </w:pPr>
            <w:r>
              <w:t xml:space="preserve">An EPS and health-margin beat should initially outweigh the still-weak American Income field-force metric, but unchanged FY26 EPS, buyback, and 3Q assumption-update guidance leave little incremental out-period upside. Revisions should remain restrained as investors focus on whether agent-count stabilization arrives in 2H26.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2026-07-22T00:57:01Z</dcterms:created>
  <dcterms:modified xsi:type="dcterms:W3CDTF">2026-07-22T00:57:01Z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