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8fc5f9d6462edfa71a83a86041f0e91b2141f32"/>
    <w:p>
      <w:pPr>
        <w:pStyle w:val="Heading1"/>
      </w:pPr>
      <w:r>
        <w:t xml:space="preserve">Globe Life (NYSE: GL) — 2Q26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Globe Life will release</w:t>
      </w:r>
      <w:r>
        <w:t xml:space="preserve"> </w:t>
      </w:r>
      <w:r>
        <w:rPr>
          <w:b/>
          <w:bCs/>
        </w:rPr>
        <w:t xml:space="preserve">2Q26 results after the market closes on Wednesday, July 22, 2026</w:t>
      </w:r>
      <w:r>
        <w:t xml:space="preserve">. The earnings call is</w:t>
      </w:r>
      <w:r>
        <w:t xml:space="preserve"> </w:t>
      </w:r>
      <w:r>
        <w:rPr>
          <w:b/>
          <w:bCs/>
        </w:rPr>
        <w:t xml:space="preserve">Thursday, July 23, 2026, at 11:00 a.m. ET</w:t>
      </w:r>
      <w:r>
        <w:t xml:space="preserve">. Thus, results are due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tomorrow; the call is tomorrow.</w:t>
      </w:r>
    </w:p>
    <w:bookmarkStart w:id="9" w:name="X628b055f601548600e0dbd81faa3cac265b6852"/>
    <w:p>
      <w:pPr>
        <w:pStyle w:val="Heading2"/>
      </w:pPr>
      <w:r>
        <w:t xml:space="preserve">Investment view: execution check after a strong first quarter and strong stock run</w:t>
      </w:r>
    </w:p>
    <w:p>
      <w:pPr>
        <w:pStyle w:val="FirstParagraph"/>
      </w:pPr>
      <w:r>
        <w:t xml:space="preserve">Globe Life enters 2Q earnings with operating momentum, a meaningful capital-return program, and several favorable underwriting drivers. The key issue is not merely whether GL exceeds a quarterly EPS number; it is whether results validate the company’s full-year outlook and support the durability of its normalized earnings growth once the expected 3Q assumption-update gain is separated out.</w:t>
      </w:r>
    </w:p>
    <w:p>
      <w:pPr>
        <w:pStyle w:val="BodyText"/>
      </w:pPr>
      <w:r>
        <w:t xml:space="preserve">The shares closed at</w:t>
      </w:r>
      <w:r>
        <w:t xml:space="preserve"> </w:t>
      </w:r>
      <m:oMath>
        <m:r>
          <m:t>184.37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33</m:t>
        </m:r>
      </m:oMath>
      <w:r>
        <w:rPr>
          <w:b/>
          <w:bCs/>
        </w:rPr>
        <w:t xml:space="preserve">15.40–$15.90</w:t>
      </w:r>
      <w:r>
        <w:t xml:space="preserve"> </w:t>
      </w:r>
      <w:r>
        <w:t xml:space="preserve">2026 operating-EPS guidance. That is not an aggressive multiple in isolation, but the stock’s recent appreciation raises the bar for confirmation that:</w:t>
      </w:r>
    </w:p>
    <w:p>
      <w:pPr>
        <w:pStyle w:val="Compact"/>
        <w:numPr>
          <w:ilvl w:val="0"/>
          <w:numId w:val="1001"/>
        </w:numPr>
      </w:pPr>
      <w:r>
        <w:t xml:space="preserve">health margins will improve as planned,</w:t>
      </w:r>
    </w:p>
    <w:p>
      <w:pPr>
        <w:pStyle w:val="Compact"/>
        <w:numPr>
          <w:ilvl w:val="0"/>
          <w:numId w:val="1001"/>
        </w:numPr>
      </w:pPr>
      <w:r>
        <w:t xml:space="preserve">American Income agent recruiting and retention are recovering,</w:t>
      </w:r>
    </w:p>
    <w:p>
      <w:pPr>
        <w:pStyle w:val="Compact"/>
        <w:numPr>
          <w:ilvl w:val="0"/>
          <w:numId w:val="1001"/>
        </w:numPr>
      </w:pPr>
      <w:r>
        <w:t xml:space="preserve">elevated lapses remain manageable, and</w:t>
      </w:r>
    </w:p>
    <w:p>
      <w:pPr>
        <w:pStyle w:val="Compact"/>
        <w:numPr>
          <w:ilvl w:val="0"/>
          <w:numId w:val="1001"/>
        </w:numPr>
      </w:pPr>
      <w:r>
        <w:t xml:space="preserve">capital generation can continue funding substantial buybacks.</w:t>
      </w:r>
    </w:p>
    <w:bookmarkEnd w:id="9"/>
    <w:bookmarkStart w:id="15" w:name="what-matters-most-this-quarter"/>
    <w:p>
      <w:pPr>
        <w:pStyle w:val="Heading2"/>
      </w:pPr>
      <w:r>
        <w:t xml:space="preserve">What matters most this quarter</w:t>
      </w:r>
    </w:p>
    <w:bookmarkStart w:id="10" w:name="X2dfe464abe0577e942ffea50363f4e744e46a51"/>
    <w:p>
      <w:pPr>
        <w:pStyle w:val="Heading3"/>
      </w:pPr>
      <w:r>
        <w:t xml:space="preserve">1. Health underwriting margin should inflect higher</w:t>
      </w:r>
    </w:p>
    <w:p>
      <w:pPr>
        <w:pStyle w:val="FirstParagraph"/>
      </w:pPr>
      <w:r>
        <w:t xml:space="preserve">This is probably the most important near-term operating datapoint.</w:t>
      </w:r>
    </w:p>
    <w:p>
      <w:pPr>
        <w:pStyle w:val="BodyText"/>
      </w:pPr>
      <w:r>
        <w:t xml:space="preserve">In 1Q26, health premium grew</w:t>
      </w:r>
      <w:r>
        <w:t xml:space="preserve"> </w:t>
      </w:r>
      <w:r>
        <w:rPr>
          <w:b/>
          <w:bCs/>
        </w:rPr>
        <w:t xml:space="preserve">13% year over year</w:t>
      </w:r>
      <w:r>
        <w:t xml:space="preserve"> </w:t>
      </w:r>
      <w:r>
        <w:t xml:space="preserve">to</w:t>
      </w:r>
      <w:r>
        <w:t xml:space="preserve"> </w:t>
      </w:r>
      <m:oMath>
        <m:r>
          <m:t>417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h</m:t>
        </m:r>
        <m:r>
          <m:t>i</m:t>
        </m:r>
        <m:r>
          <m:t>l</m:t>
        </m:r>
        <m:r>
          <m:t>e</m:t>
        </m:r>
        <m:r>
          <m:t>h</m:t>
        </m:r>
        <m:r>
          <m:t>e</m:t>
        </m:r>
        <m:r>
          <m:t>a</m:t>
        </m:r>
        <m:r>
          <m:t>l</m:t>
        </m:r>
        <m:r>
          <m:t>t</m:t>
        </m:r>
        <m:r>
          <m:t>h</m:t>
        </m:r>
        <m:r>
          <m:t>u</m:t>
        </m:r>
        <m:r>
          <m:t>n</m:t>
        </m:r>
        <m:r>
          <m:t>d</m:t>
        </m:r>
        <m:r>
          <m:t>e</m:t>
        </m:r>
        <m:r>
          <m:t>r</m:t>
        </m:r>
        <m:r>
          <m:t>w</m:t>
        </m:r>
        <m:r>
          <m:t>r</m:t>
        </m:r>
        <m:r>
          <m:t>i</m:t>
        </m:r>
        <m:r>
          <m:t>t</m:t>
        </m:r>
        <m:r>
          <m:t>i</m:t>
        </m:r>
        <m:r>
          <m:t>n</m:t>
        </m:r>
        <m:r>
          <m:t>g</m:t>
        </m:r>
        <m:r>
          <m:t>m</m:t>
        </m:r>
        <m:r>
          <m:t>a</m:t>
        </m:r>
        <m:r>
          <m:t>r</m:t>
        </m:r>
        <m:r>
          <m:t>g</m:t>
        </m:r>
        <m:r>
          <m:t>i</m:t>
        </m:r>
        <m:r>
          <m:t>n</m:t>
        </m:r>
        <m:r>
          <m:t>g</m:t>
        </m:r>
        <m:r>
          <m:t>r</m:t>
        </m:r>
        <m:r>
          <m:t>e</m:t>
        </m:r>
        <m:r>
          <m:t>w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12</m:t>
        </m:r>
      </m:oMath>
      <w:r>
        <w:rPr>
          <w:b/>
          <w:bCs/>
        </w:rPr>
        <w:t xml:space="preserve">95 million</w:t>
      </w:r>
      <w:r>
        <w:t xml:space="preserve">, or</w:t>
      </w:r>
      <w:r>
        <w:t xml:space="preserve"> </w:t>
      </w:r>
      <w:r>
        <w:rPr>
          <w:b/>
          <w:bCs/>
        </w:rPr>
        <w:t xml:space="preserve">23% of premium</w:t>
      </w:r>
      <w:r>
        <w:t xml:space="preserve">. Management characterized that margin as seasonally normal for the first quarter, but explicitly expects total health underwriting margin to move</w:t>
      </w:r>
      <w:r>
        <w:t xml:space="preserve"> </w:t>
      </w:r>
      <w:r>
        <w:rPr>
          <w:b/>
          <w:bCs/>
        </w:rPr>
        <w:t xml:space="preserve">above 25% in each of the remaining three quarters of 2026</w:t>
      </w:r>
      <w:r>
        <w:t xml:space="preserve">.</w:t>
      </w:r>
    </w:p>
    <w:p>
      <w:pPr>
        <w:pStyle w:val="BodyText"/>
      </w:pPr>
      <w:r>
        <w:t xml:space="preserve">The primary driver is United American’s Medicare Supplement business. GL expects approximately</w:t>
      </w:r>
      <w:r>
        <w:t xml:space="preserve"> </w:t>
      </w:r>
      <m:oMath>
        <m:r>
          <m:t>65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l</m:t>
        </m:r>
        <m:r>
          <m:t>2026</m:t>
        </m:r>
        <m:r>
          <m:t>p</m:t>
        </m:r>
        <m:r>
          <m:t>r</m:t>
        </m:r>
        <m:r>
          <m:t>e</m:t>
        </m:r>
        <m:r>
          <m:t>m</m:t>
        </m:r>
        <m:r>
          <m:t>i</m:t>
        </m:r>
        <m:r>
          <m:t>u</m:t>
        </m:r>
        <m:r>
          <m:t>m</m:t>
        </m:r>
        <m:r>
          <m:t>f</m:t>
        </m:r>
        <m:r>
          <m:t>r</m:t>
        </m:r>
        <m:r>
          <m:t>o</m:t>
        </m:r>
        <m:r>
          <m:t>m</m:t>
        </m:r>
        <m:r>
          <m:t>p</m:t>
        </m:r>
        <m:r>
          <m:t>r</m:t>
        </m:r>
        <m:r>
          <m:t>e</m:t>
        </m:r>
        <m:r>
          <m:t>v</m:t>
        </m:r>
        <m:r>
          <m:t>i</m:t>
        </m:r>
        <m:r>
          <m:t>o</m:t>
        </m:r>
        <m:r>
          <m:t>u</m:t>
        </m:r>
        <m:r>
          <m:t>s</m:t>
        </m:r>
        <m:r>
          <m:t>l</m:t>
        </m:r>
        <m:r>
          <m:t>y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v</m:t>
        </m:r>
        <m:r>
          <m:t>e</m:t>
        </m:r>
        <m:r>
          <m:t>d</m:t>
        </m:r>
        <m:r>
          <m:t>i</m:t>
        </m:r>
        <m:r>
          <m:t>n</m:t>
        </m:r>
        <m:r>
          <m:rPr>
            <m:sty m:val="p"/>
          </m:rPr>
          <m:t>−</m:t>
        </m:r>
        <m:r>
          <m:t>f</m:t>
        </m:r>
        <m:r>
          <m:t>o</m:t>
        </m:r>
        <m:r>
          <m:t>r</m:t>
        </m:r>
        <m:r>
          <m:t>c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m</m:t>
        </m:r>
        <m:r>
          <m:t>o</m:t>
        </m:r>
        <m:r>
          <m:t>s</m:t>
        </m:r>
        <m:r>
          <m:t>t</m:t>
        </m:r>
        <m:r>
          <m:t>o</m:t>
        </m:r>
        <m:r>
          <m:t>f</m:t>
        </m:r>
        <m:r>
          <m:t>t</m:t>
        </m:r>
        <m:r>
          <m:t>h</m:t>
        </m:r>
        <m:r>
          <m:t>a</m:t>
        </m:r>
        <m:r>
          <m:t>t</m:t>
        </m:r>
        <m:r>
          <m:t>b</m:t>
        </m:r>
        <m:r>
          <m:t>e</m:t>
        </m:r>
        <m:r>
          <m:t>n</m:t>
        </m:r>
        <m:r>
          <m:t>e</m:t>
        </m:r>
        <m:r>
          <m:t>f</m:t>
        </m:r>
        <m:r>
          <m:t>i</m:t>
        </m:r>
        <m:r>
          <m:t>t</m:t>
        </m:r>
        <m:r>
          <m:t>o</m:t>
        </m:r>
        <m:r>
          <m:t>c</m:t>
        </m:r>
        <m:r>
          <m:t>c</m:t>
        </m:r>
        <m:r>
          <m:t>u</m:t>
        </m:r>
        <m:r>
          <m:t>r</m:t>
        </m:r>
        <m:r>
          <m:t>r</m:t>
        </m:r>
        <m:r>
          <m:t>i</m:t>
        </m:r>
        <m:r>
          <m:t>n</m:t>
        </m:r>
        <m:r>
          <m:t>g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1</m:t>
        </m:r>
        <m:r>
          <m:t>Q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i</m:t>
        </m:r>
        <m:r>
          <m:t>n</m:t>
        </m:r>
        <m:r>
          <m:t>d</m:t>
        </m:r>
        <m:r>
          <m:t>i</m:t>
        </m:r>
        <m:r>
          <m:t>c</m:t>
        </m:r>
        <m:r>
          <m:t>a</m:t>
        </m:r>
        <m:r>
          <m:t>t</m:t>
        </m:r>
        <m:r>
          <m:t>e</m:t>
        </m:r>
        <m:r>
          <m:t>d</m:t>
        </m:r>
        <m:r>
          <m:t>t</m:t>
        </m:r>
        <m:r>
          <m:t>h</m:t>
        </m:r>
        <m:r>
          <m:t>a</m:t>
        </m:r>
        <m:r>
          <m:t>t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20 million per quarter</w:t>
      </w:r>
      <w:r>
        <w:t xml:space="preserve"> </w:t>
      </w:r>
      <w:r>
        <w:t xml:space="preserve">of added premium should arrive in each of 2Q–4Q.</w:t>
      </w:r>
    </w:p>
    <w:p>
      <w:pPr>
        <w:pStyle w:val="BodyText"/>
      </w:pPr>
      <w:r>
        <w:rPr>
          <w:b/>
          <w:bCs/>
        </w:rPr>
        <w:t xml:space="preserve">What investors should watch:</w:t>
      </w:r>
    </w:p>
    <w:p>
      <w:pPr>
        <w:pStyle w:val="Compact"/>
        <w:numPr>
          <w:ilvl w:val="0"/>
          <w:numId w:val="1002"/>
        </w:numPr>
      </w:pPr>
      <w:r>
        <w:t xml:space="preserve">Total health underwriting margin above 25% of premium would support management’s full-year</w:t>
      </w:r>
      <w:r>
        <w:t xml:space="preserve"> </w:t>
      </w:r>
      <w:r>
        <w:rPr>
          <w:b/>
          <w:bCs/>
        </w:rPr>
        <w:t xml:space="preserve">23%–27%</w:t>
      </w:r>
      <w:r>
        <w:t xml:space="preserve"> </w:t>
      </w:r>
      <w:r>
        <w:t xml:space="preserve">outlook.</w:t>
      </w:r>
    </w:p>
    <w:p>
      <w:pPr>
        <w:pStyle w:val="Compact"/>
        <w:numPr>
          <w:ilvl w:val="0"/>
          <w:numId w:val="1002"/>
        </w:numPr>
      </w:pPr>
      <w:r>
        <w:t xml:space="preserve">United American’s margin is especially important: it was only</w:t>
      </w:r>
      <w:r>
        <w:t xml:space="preserve"> </w:t>
      </w:r>
      <w:r>
        <w:rPr>
          <w:b/>
          <w:bCs/>
        </w:rPr>
        <w:t xml:space="preserve">3%</w:t>
      </w:r>
      <w:r>
        <w:t xml:space="preserve"> </w:t>
      </w:r>
      <w:r>
        <w:t xml:space="preserve">in 1Q, but management expects a roughly</w:t>
      </w:r>
      <w:r>
        <w:t xml:space="preserve"> </w:t>
      </w:r>
      <w:r>
        <w:rPr>
          <w:b/>
          <w:bCs/>
        </w:rPr>
        <w:t xml:space="preserve">10%</w:t>
      </w:r>
      <w:r>
        <w:t xml:space="preserve"> </w:t>
      </w:r>
      <w:r>
        <w:t xml:space="preserve">average margin over the final three quarters.</w:t>
      </w:r>
    </w:p>
    <w:p>
      <w:pPr>
        <w:pStyle w:val="Compact"/>
        <w:numPr>
          <w:ilvl w:val="0"/>
          <w:numId w:val="1002"/>
        </w:numPr>
      </w:pPr>
      <w:r>
        <w:t xml:space="preserve">Medicare Supplement sales growth and claims/utilization trends will determine whether rate actions translate cleanly into improved profitability.</w:t>
      </w:r>
    </w:p>
    <w:p>
      <w:pPr>
        <w:pStyle w:val="FirstParagraph"/>
      </w:pPr>
      <w:r>
        <w:rPr>
          <w:b/>
          <w:bCs/>
        </w:rPr>
        <w:t xml:space="preserve">Why it matters:</w:t>
      </w:r>
      <w:r>
        <w:t xml:space="preserve"> </w:t>
      </w:r>
      <w:r>
        <w:t xml:space="preserve">A health-margin recovery would make the 2026 earnings algorithm more balanced and reduce concern that strong health sales are being purchased at lower returns.</w:t>
      </w:r>
    </w:p>
    <w:p>
      <w:r>
        <w:pict>
          <v:rect style="width:0;height:1.5pt" o:hralign="center" o:hrstd="t" o:hr="t"/>
        </w:pict>
      </w:r>
    </w:p>
    <w:bookmarkEnd w:id="10"/>
    <w:bookmarkStart w:id="11" w:name="Xa2b3a91722684a78ba690c37ca7aa6b5a75e660"/>
    <w:p>
      <w:pPr>
        <w:pStyle w:val="Heading3"/>
      </w:pPr>
      <w:r>
        <w:t xml:space="preserve">2. American Income agent count is the principal execution risk</w:t>
      </w:r>
    </w:p>
    <w:p>
      <w:pPr>
        <w:pStyle w:val="FirstParagraph"/>
      </w:pPr>
      <w:r>
        <w:t xml:space="preserve">American Income Life remains Globe Life’s largest life distribution channel. In 1Q, American Income life premium increased</w:t>
      </w:r>
      <w:r>
        <w:t xml:space="preserve"> </w:t>
      </w:r>
      <w:r>
        <w:rPr>
          <w:b/>
          <w:bCs/>
        </w:rPr>
        <w:t xml:space="preserve">5%</w:t>
      </w:r>
      <w:r>
        <w:t xml:space="preserve">, life underwriting margin rose</w:t>
      </w:r>
      <w:r>
        <w:t xml:space="preserve"> </w:t>
      </w:r>
      <w:r>
        <w:rPr>
          <w:b/>
          <w:bCs/>
        </w:rPr>
        <w:t xml:space="preserve">7%</w:t>
      </w:r>
      <w:r>
        <w:t xml:space="preserve">, and net life sales grew</w:t>
      </w:r>
      <w:r>
        <w:t xml:space="preserve"> </w:t>
      </w:r>
      <w:r>
        <w:rPr>
          <w:b/>
          <w:bCs/>
        </w:rPr>
        <w:t xml:space="preserve">3%</w:t>
      </w:r>
      <w:r>
        <w:t xml:space="preserve">. However, its average producing-agent count declined</w:t>
      </w:r>
      <w:r>
        <w:t xml:space="preserve"> </w:t>
      </w:r>
      <w:r>
        <w:rPr>
          <w:b/>
          <w:bCs/>
        </w:rPr>
        <w:t xml:space="preserve">4% year over year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5% sequentially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11,064</w:t>
      </w:r>
      <w:r>
        <w:t xml:space="preserve">.</w:t>
      </w:r>
    </w:p>
    <w:p>
      <w:pPr>
        <w:pStyle w:val="BodyText"/>
      </w:pPr>
      <w:r>
        <w:t xml:space="preserve">Management attributed the decline principally to new-agent retention and said it changed middle-management compensation at the start of 2Q to emphasize recruiting and early-tenure retention. The company expects that initiative to help during the second half of the year.</w:t>
      </w:r>
    </w:p>
    <w:p>
      <w:pPr>
        <w:pStyle w:val="BodyText"/>
      </w:pPr>
      <w:r>
        <w:rPr>
          <w:b/>
          <w:bCs/>
        </w:rPr>
        <w:t xml:space="preserve">What investors should watch:</w:t>
      </w:r>
    </w:p>
    <w:p>
      <w:pPr>
        <w:pStyle w:val="Compact"/>
        <w:numPr>
          <w:ilvl w:val="0"/>
          <w:numId w:val="1003"/>
        </w:numPr>
      </w:pPr>
      <w:r>
        <w:t xml:space="preserve">The quarterly average producing-agent count at American Income.</w:t>
      </w:r>
    </w:p>
    <w:p>
      <w:pPr>
        <w:pStyle w:val="Compact"/>
        <w:numPr>
          <w:ilvl w:val="0"/>
          <w:numId w:val="1003"/>
        </w:numPr>
      </w:pPr>
      <w:r>
        <w:t xml:space="preserve">Whether management reports an early improvement in recruiting pipelines or first-six-month agent retention.</w:t>
      </w:r>
    </w:p>
    <w:p>
      <w:pPr>
        <w:pStyle w:val="Compact"/>
        <w:numPr>
          <w:ilvl w:val="0"/>
          <w:numId w:val="1003"/>
        </w:numPr>
      </w:pPr>
      <w:r>
        <w:t xml:space="preserve">Life net-sales growth relative to the “mid-single-digit” full-year expectation.</w:t>
      </w:r>
    </w:p>
    <w:p>
      <w:pPr>
        <w:pStyle w:val="Compact"/>
        <w:numPr>
          <w:ilvl w:val="0"/>
          <w:numId w:val="1003"/>
        </w:numPr>
      </w:pPr>
      <w:r>
        <w:t xml:space="preserve">Whether agent productivity remains strong even if headcount recovery is delayed.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Continued sales growth despite lower agent count demonstrates productivity resilience, but a prolonged decline in the field force would ultimately constrain premium growth and make the long-term growth story less compelling.</w:t>
      </w:r>
    </w:p>
    <w:p>
      <w:r>
        <w:pict>
          <v:rect style="width:0;height:1.5pt" o:hralign="center" o:hrstd="t" o:hr="t"/>
        </w:pict>
      </w:r>
    </w:p>
    <w:bookmarkEnd w:id="11"/>
    <w:bookmarkStart w:id="12" w:name="X2896ee34226a027ffda2343ee93cfce60222b02"/>
    <w:p>
      <w:pPr>
        <w:pStyle w:val="Heading3"/>
      </w:pPr>
      <w:r>
        <w:t xml:space="preserve">3. Life margin and mortality trends need to remain favorable</w:t>
      </w:r>
    </w:p>
    <w:p>
      <w:pPr>
        <w:pStyle w:val="FirstParagraph"/>
      </w:pPr>
      <w:r>
        <w:t xml:space="preserve">GL’s life business is the core earnings engine. In 1Q, life premium grew</w:t>
      </w:r>
      <w:r>
        <w:t xml:space="preserve"> </w:t>
      </w:r>
      <w:r>
        <w:rPr>
          <w:b/>
          <w:bCs/>
        </w:rPr>
        <w:t xml:space="preserve">3%</w:t>
      </w:r>
      <w:r>
        <w:t xml:space="preserve"> </w:t>
      </w:r>
      <w:r>
        <w:t xml:space="preserve">and life underwriting margin was</w:t>
      </w:r>
      <w:r>
        <w:t xml:space="preserve"> </w:t>
      </w:r>
      <w:r>
        <w:rPr>
          <w:b/>
          <w:bCs/>
        </w:rPr>
        <w:t xml:space="preserve">$349 million</w:t>
      </w:r>
      <w:r>
        <w:t xml:space="preserve">, or</w:t>
      </w:r>
      <w:r>
        <w:t xml:space="preserve"> </w:t>
      </w:r>
      <w:r>
        <w:rPr>
          <w:b/>
          <w:bCs/>
        </w:rPr>
        <w:t xml:space="preserve">41% of premium</w:t>
      </w:r>
      <w:r>
        <w:t xml:space="preserve">. Management expects the life margin to remain around</w:t>
      </w:r>
      <w:r>
        <w:t xml:space="preserve"> </w:t>
      </w:r>
      <w:r>
        <w:rPr>
          <w:b/>
          <w:bCs/>
        </w:rPr>
        <w:t xml:space="preserve">41%</w:t>
      </w:r>
      <w:r>
        <w:t xml:space="preserve"> </w:t>
      </w:r>
      <w:r>
        <w:t xml:space="preserve">in both 2Q and 4Q.</w:t>
      </w:r>
    </w:p>
    <w:p>
      <w:pPr>
        <w:pStyle w:val="BodyText"/>
      </w:pPr>
      <w:r>
        <w:t xml:space="preserve">The company’s favorable mortality experience is already embedded in its outlook. Management expects a</w:t>
      </w:r>
      <w:r>
        <w:t xml:space="preserve"> </w:t>
      </w:r>
      <m:oMath>
        <m:r>
          <m:t>70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110 million pre-tax</w:t>
      </w:r>
      <w:r>
        <w:t xml:space="preserve"> </w:t>
      </w:r>
      <w:r>
        <w:t xml:space="preserve">benefit from annual life-assumption updates in 3Q26, implying an unusually high 3Q life underwriting margin of</w:t>
      </w:r>
      <w:r>
        <w:t xml:space="preserve"> </w:t>
      </w:r>
      <w:r>
        <w:rPr>
          <w:b/>
          <w:bCs/>
        </w:rPr>
        <w:t xml:space="preserve">49%–54%</w:t>
      </w:r>
      <w:r>
        <w:t xml:space="preserve">. That is a future-quarter event, so investors should not expect a comparable lift in 2Q.</w:t>
      </w:r>
    </w:p>
    <w:p>
      <w:pPr>
        <w:pStyle w:val="BodyText"/>
      </w:pPr>
      <w:r>
        <w:rPr>
          <w:b/>
          <w:bCs/>
        </w:rPr>
        <w:t xml:space="preserve">What investors should watch:</w:t>
      </w:r>
    </w:p>
    <w:p>
      <w:pPr>
        <w:pStyle w:val="Compact"/>
        <w:numPr>
          <w:ilvl w:val="0"/>
          <w:numId w:val="1004"/>
        </w:numPr>
      </w:pPr>
      <w:r>
        <w:t xml:space="preserve">Whether 2Q life margin holds near 41%.</w:t>
      </w:r>
    </w:p>
    <w:p>
      <w:pPr>
        <w:pStyle w:val="Compact"/>
        <w:numPr>
          <w:ilvl w:val="0"/>
          <w:numId w:val="1004"/>
        </w:numPr>
      </w:pPr>
      <w:r>
        <w:t xml:space="preserve">Commentary on mortality, particularly heart/circulatory disease, cancer, and non-medical claims.</w:t>
      </w:r>
    </w:p>
    <w:p>
      <w:pPr>
        <w:pStyle w:val="Compact"/>
        <w:numPr>
          <w:ilvl w:val="0"/>
          <w:numId w:val="1004"/>
        </w:numPr>
      </w:pPr>
      <w:r>
        <w:t xml:space="preserve">Lapse experience, which management expects to remain elevated versus pre-pandemic levels but broadly consistent with 2025.</w:t>
      </w:r>
    </w:p>
    <w:p>
      <w:pPr>
        <w:pStyle w:val="Compact"/>
        <w:numPr>
          <w:ilvl w:val="0"/>
          <w:numId w:val="1004"/>
        </w:numPr>
      </w:pPr>
      <w:r>
        <w:t xml:space="preserve">Confirmation that the expected 3Q assumption-update benefit remains intact.</w:t>
      </w:r>
    </w:p>
    <w:p>
      <w:pPr>
        <w:pStyle w:val="FirstParagraph"/>
      </w:pPr>
      <w:r>
        <w:rPr>
          <w:b/>
          <w:bCs/>
        </w:rPr>
        <w:t xml:space="preserve">Key interpretation:</w:t>
      </w:r>
      <w:r>
        <w:t xml:space="preserve"> </w:t>
      </w:r>
      <w:r>
        <w:t xml:space="preserve">A normal 2Q life margin near 41% is a positive outcome. A materially stronger figure could improve confidence in the 3Q reserve-assumption benefit; a weaker result would raise questions around mortality, lapses, or acquisition-cost amortization.</w:t>
      </w:r>
    </w:p>
    <w:p>
      <w:r>
        <w:pict>
          <v:rect style="width:0;height:1.5pt" o:hralign="center" o:hrstd="t" o:hr="t"/>
        </w:pict>
      </w:r>
    </w:p>
    <w:bookmarkEnd w:id="12"/>
    <w:bookmarkStart w:id="13" w:name="X9eec841025346c4ba05d17254ca5e524f940b61"/>
    <w:p>
      <w:pPr>
        <w:pStyle w:val="Heading3"/>
      </w:pPr>
      <w:r>
        <w:t xml:space="preserve">4. Sales trends: United American is strong, but comparisons get harder</w:t>
      </w:r>
    </w:p>
    <w:p>
      <w:pPr>
        <w:pStyle w:val="FirstParagraph"/>
      </w:pPr>
      <w:r>
        <w:t xml:space="preserve">1Q sales momentum was strong:</w:t>
      </w:r>
    </w:p>
    <w:p>
      <w:pPr>
        <w:pStyle w:val="Compact"/>
        <w:numPr>
          <w:ilvl w:val="0"/>
          <w:numId w:val="1005"/>
        </w:numPr>
      </w:pPr>
      <w:r>
        <w:t xml:space="preserve">Total life net sales:</w:t>
      </w:r>
      <w:r>
        <w:t xml:space="preserve"> </w:t>
      </w:r>
      <w:r>
        <w:rPr>
          <w:b/>
          <w:bCs/>
        </w:rPr>
        <w:t xml:space="preserve">+6%</w:t>
      </w:r>
    </w:p>
    <w:p>
      <w:pPr>
        <w:pStyle w:val="Compact"/>
        <w:numPr>
          <w:ilvl w:val="0"/>
          <w:numId w:val="1005"/>
        </w:numPr>
      </w:pPr>
      <w:r>
        <w:t xml:space="preserve">Total health net sales:</w:t>
      </w:r>
      <w:r>
        <w:t xml:space="preserve"> </w:t>
      </w:r>
      <w:r>
        <w:rPr>
          <w:b/>
          <w:bCs/>
        </w:rPr>
        <w:t xml:space="preserve">+58%</w:t>
      </w:r>
    </w:p>
    <w:p>
      <w:pPr>
        <w:pStyle w:val="Compact"/>
        <w:numPr>
          <w:ilvl w:val="0"/>
          <w:numId w:val="1005"/>
        </w:numPr>
      </w:pPr>
      <w:r>
        <w:t xml:space="preserve">United American health net sales:</w:t>
      </w:r>
      <w:r>
        <w:t xml:space="preserve"> </w:t>
      </w:r>
      <w:r>
        <w:rPr>
          <w:b/>
          <w:bCs/>
        </w:rPr>
        <w:t xml:space="preserve">+122%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$62 million</w:t>
      </w:r>
    </w:p>
    <w:p>
      <w:pPr>
        <w:pStyle w:val="Compact"/>
        <w:numPr>
          <w:ilvl w:val="0"/>
          <w:numId w:val="1005"/>
        </w:numPr>
      </w:pPr>
      <w:r>
        <w:t xml:space="preserve">Family Heritage health net sales:</w:t>
      </w:r>
      <w:r>
        <w:t xml:space="preserve"> </w:t>
      </w:r>
      <w:r>
        <w:rPr>
          <w:b/>
          <w:bCs/>
        </w:rPr>
        <w:t xml:space="preserve">+22%</w:t>
      </w:r>
    </w:p>
    <w:p>
      <w:pPr>
        <w:pStyle w:val="Compact"/>
        <w:numPr>
          <w:ilvl w:val="0"/>
          <w:numId w:val="1005"/>
        </w:numPr>
      </w:pPr>
      <w:r>
        <w:t xml:space="preserve">Liberty National life net sales:</w:t>
      </w:r>
      <w:r>
        <w:t xml:space="preserve"> </w:t>
      </w:r>
      <w:r>
        <w:rPr>
          <w:b/>
          <w:bCs/>
        </w:rPr>
        <w:t xml:space="preserve">+13%</w:t>
      </w:r>
    </w:p>
    <w:p>
      <w:pPr>
        <w:pStyle w:val="FirstParagraph"/>
      </w:pPr>
      <w:r>
        <w:t xml:space="preserve">United American is benefiting from ongoing movement of consumers from Medicare Advantage toward Medicare Supplement plans. Management increased its 2026 United American health-sales outlook to</w:t>
      </w:r>
      <w:r>
        <w:t xml:space="preserve"> </w:t>
      </w:r>
      <w:r>
        <w:rPr>
          <w:b/>
          <w:bCs/>
        </w:rPr>
        <w:t xml:space="preserve">high-teens growth</w:t>
      </w:r>
      <w:r>
        <w:t xml:space="preserve">, although it also cautioned that comparisons become much more difficult late in the year after exceptionally strong 2025 growth.</w:t>
      </w:r>
    </w:p>
    <w:p>
      <w:pPr>
        <w:pStyle w:val="BodyText"/>
      </w:pPr>
      <w:r>
        <w:rPr>
          <w:b/>
          <w:bCs/>
        </w:rPr>
        <w:t xml:space="preserve">What investors should watch:</w:t>
      </w:r>
    </w:p>
    <w:p>
      <w:pPr>
        <w:pStyle w:val="Compact"/>
        <w:numPr>
          <w:ilvl w:val="0"/>
          <w:numId w:val="1006"/>
        </w:numPr>
      </w:pPr>
      <w:r>
        <w:t xml:space="preserve">Whether United American’s sales growth remains robust without deterioration in underwriting quality.</w:t>
      </w:r>
    </w:p>
    <w:p>
      <w:pPr>
        <w:pStyle w:val="Compact"/>
        <w:numPr>
          <w:ilvl w:val="0"/>
          <w:numId w:val="1006"/>
        </w:numPr>
      </w:pPr>
      <w:r>
        <w:t xml:space="preserve">Family Heritage agent-count growth and health-sales momentum.</w:t>
      </w:r>
    </w:p>
    <w:p>
      <w:pPr>
        <w:pStyle w:val="Compact"/>
        <w:numPr>
          <w:ilvl w:val="0"/>
          <w:numId w:val="1006"/>
        </w:numPr>
      </w:pPr>
      <w:r>
        <w:t xml:space="preserve">Liberty National’s ability to sustain both agent growth and life-sales growth.</w:t>
      </w:r>
    </w:p>
    <w:p>
      <w:pPr>
        <w:pStyle w:val="Compact"/>
        <w:numPr>
          <w:ilvl w:val="0"/>
          <w:numId w:val="1006"/>
        </w:numPr>
      </w:pPr>
      <w:r>
        <w:t xml:space="preserve">Direct-to-consumer conversion and lead-generation efficiency, where GL is increasing advertising spend after seeing improved agency conversion of shared leads.</w:t>
      </w:r>
    </w:p>
    <w:p>
      <w:r>
        <w:pict>
          <v:rect style="width:0;height:1.5pt" o:hralign="center" o:hrstd="t" o:hr="t"/>
        </w:pict>
      </w:r>
    </w:p>
    <w:bookmarkEnd w:id="13"/>
    <w:bookmarkStart w:id="14" w:name="X8b0a8ceb93478bc91bf174daaf6782b4ce236e6"/>
    <w:p>
      <w:pPr>
        <w:pStyle w:val="Heading3"/>
      </w:pPr>
      <w:r>
        <w:t xml:space="preserve">5. Buybacks and capital allocation remain a material EPS driver</w:t>
      </w:r>
    </w:p>
    <w:p>
      <w:pPr>
        <w:pStyle w:val="FirstParagraph"/>
      </w:pPr>
      <w:r>
        <w:t xml:space="preserve">Globe Life repurchased</w:t>
      </w:r>
      <w:r>
        <w:t xml:space="preserve"> </w:t>
      </w:r>
      <w:r>
        <w:rPr>
          <w:b/>
          <w:bCs/>
        </w:rPr>
        <w:t xml:space="preserve">1.4 million shares for</w:t>
      </w:r>
      <w:r>
        <w:rPr>
          <w:b/>
          <w:bCs/>
        </w:rPr>
        <w:t xml:space="preserve"> </w:t>
      </w:r>
      <m:oMath>
        <m:r>
          <m:t>203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,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141.24</w:t>
      </w:r>
      <w:r>
        <w:t xml:space="preserve">. It raised 2026 share-repurchase guidance to</w:t>
      </w:r>
      <w:r>
        <w:t xml:space="preserve"> </w:t>
      </w:r>
      <m:oMath>
        <m:r>
          <m:t>560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610 million</w:t>
      </w:r>
      <w:r>
        <w:t xml:space="preserve">, alongside approximately</w:t>
      </w:r>
      <w:r>
        <w:t xml:space="preserve"> </w:t>
      </w:r>
      <w:r>
        <w:rPr>
          <w:b/>
          <w:bCs/>
        </w:rPr>
        <w:t xml:space="preserve">$90 million</w:t>
      </w:r>
      <w:r>
        <w:t xml:space="preserve"> </w:t>
      </w:r>
      <w:r>
        <w:t xml:space="preserve">of shareholder dividends.</w:t>
      </w:r>
    </w:p>
    <w:p>
      <w:pPr>
        <w:pStyle w:val="BodyText"/>
      </w:pPr>
      <w:r>
        <w:t xml:space="preserve">The buyback effect is meaningful: 1Q diluted weighted-average shares were</w:t>
      </w:r>
      <w:r>
        <w:t xml:space="preserve"> </w:t>
      </w:r>
      <w:r>
        <w:rPr>
          <w:b/>
          <w:bCs/>
        </w:rPr>
        <w:t xml:space="preserve">79.7 million</w:t>
      </w:r>
      <w:r>
        <w:t xml:space="preserve">, down from</w:t>
      </w:r>
      <w:r>
        <w:t xml:space="preserve"> </w:t>
      </w:r>
      <w:r>
        <w:rPr>
          <w:b/>
          <w:bCs/>
        </w:rPr>
        <w:t xml:space="preserve">84.5 million</w:t>
      </w:r>
      <w:r>
        <w:t xml:space="preserve"> </w:t>
      </w:r>
      <w:r>
        <w:t xml:space="preserve">a year earlier. Even modest growth in underlying underwriting and investment income can translate into stronger per-share growth when paired with this level of repurchase activity.</w:t>
      </w:r>
    </w:p>
    <w:p>
      <w:pPr>
        <w:pStyle w:val="BodyText"/>
      </w:pPr>
      <w:r>
        <w:t xml:space="preserve">Management expects</w:t>
      </w:r>
      <w:r>
        <w:t xml:space="preserve"> </w:t>
      </w:r>
      <m:oMath>
        <m:r>
          <m:t>650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700 million</w:t>
      </w:r>
      <w:r>
        <w:t xml:space="preserve"> </w:t>
      </w:r>
      <w:r>
        <w:t xml:space="preserve">of 2026 parent excess cash flow and targets a consolidated RBC ratio of</w:t>
      </w:r>
      <w:r>
        <w:t xml:space="preserve"> </w:t>
      </w:r>
      <w:r>
        <w:rPr>
          <w:b/>
          <w:bCs/>
        </w:rPr>
        <w:t xml:space="preserve">300%–320%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What investors should watch:</w:t>
      </w:r>
    </w:p>
    <w:p>
      <w:pPr>
        <w:pStyle w:val="Compact"/>
        <w:numPr>
          <w:ilvl w:val="0"/>
          <w:numId w:val="1007"/>
        </w:numPr>
      </w:pPr>
      <w:r>
        <w:t xml:space="preserve">2Q repurchase dollars, average purchase price, and diluted-share-count trajectory.</w:t>
      </w:r>
    </w:p>
    <w:p>
      <w:pPr>
        <w:pStyle w:val="Compact"/>
        <w:numPr>
          <w:ilvl w:val="0"/>
          <w:numId w:val="1007"/>
        </w:numPr>
      </w:pPr>
      <w:r>
        <w:t xml:space="preserve">Any change in full-year capital-return guidance.</w:t>
      </w:r>
    </w:p>
    <w:p>
      <w:pPr>
        <w:pStyle w:val="Compact"/>
        <w:numPr>
          <w:ilvl w:val="0"/>
          <w:numId w:val="1007"/>
        </w:numPr>
      </w:pPr>
      <w:r>
        <w:t xml:space="preserve">Parent liquidity and statutory-dividend commentary.</w:t>
      </w:r>
    </w:p>
    <w:p>
      <w:pPr>
        <w:pStyle w:val="Compact"/>
        <w:numPr>
          <w:ilvl w:val="0"/>
          <w:numId w:val="1007"/>
        </w:numPr>
      </w:pPr>
      <w:r>
        <w:t xml:space="preserve">The status of GL’s Bermuda initiative and reciprocal-jurisdiction filing, which management had expected to update following 2Q.</w:t>
      </w:r>
    </w:p>
    <w:p>
      <w:pPr>
        <w:pStyle w:val="FirstParagraph"/>
      </w:pPr>
      <w:r>
        <w:t xml:space="preserve">A June refinancing also extended the credit-facility maturity to</w:t>
      </w:r>
      <w:r>
        <w:t xml:space="preserve"> </w:t>
      </w:r>
      <w:r>
        <w:rPr>
          <w:b/>
          <w:bCs/>
        </w:rPr>
        <w:t xml:space="preserve">June 2031</w:t>
      </w:r>
      <w:r>
        <w:t xml:space="preserve"> </w:t>
      </w:r>
      <w:r>
        <w:t xml:space="preserve">and increased the term loan to</w:t>
      </w:r>
      <w:r>
        <w:t xml:space="preserve"> </w:t>
      </w:r>
      <w:r>
        <w:rPr>
          <w:b/>
          <w:bCs/>
        </w:rPr>
        <w:t xml:space="preserve">$450 million</w:t>
      </w:r>
      <w:r>
        <w:t xml:space="preserve"> </w:t>
      </w:r>
      <w:r>
        <w:t xml:space="preserve">from $250 million, with the term-loan maturity extended to</w:t>
      </w:r>
      <w:r>
        <w:t xml:space="preserve"> </w:t>
      </w:r>
      <w:r>
        <w:rPr>
          <w:b/>
          <w:bCs/>
        </w:rPr>
        <w:t xml:space="preserve">June 2029</w:t>
      </w:r>
      <w:r>
        <w:t xml:space="preserve">. Investors should seek clarity on the intended use of the additional borrowing capacity and any implications for financing costs or capital flexibility.</w:t>
      </w:r>
    </w:p>
    <w:bookmarkEnd w:id="14"/>
    <w:bookmarkEnd w:id="15"/>
    <w:bookmarkStart w:id="16" w:name="quarterly-scorecard"/>
    <w:p>
      <w:pPr>
        <w:pStyle w:val="Heading2"/>
      </w:pPr>
      <w:r>
        <w:t xml:space="preserve">Quarterly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</w:pPr>
            <w:r>
              <w:t xml:space="preserve">What to look for in 2Q26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operating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$3.43</w:t>
            </w:r>
          </w:p>
        </w:tc>
        <w:tc>
          <w:tcPr/>
          <w:p>
            <w:pPr>
              <w:pStyle w:val="Compact"/>
            </w:pPr>
            <w:r>
              <w:t xml:space="preserve">Continued double-digit per-share growth, aided by buybacks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premium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$1.218B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$1.270B</w:t>
            </w:r>
          </w:p>
        </w:tc>
        <w:tc>
          <w:tcPr/>
          <w:p>
            <w:pPr>
              <w:pStyle w:val="Compact"/>
            </w:pPr>
            <w:r>
              <w:t xml:space="preserve">Progress toward ~7% full-year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 premium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3%</w:t>
            </w:r>
          </w:p>
        </w:tc>
        <w:tc>
          <w:tcPr/>
          <w:p>
            <w:pPr>
              <w:pStyle w:val="Compact"/>
            </w:pPr>
            <w:r>
              <w:t xml:space="preserve">Consistency with 3%–3.5% full-year 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Health premium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13%</w:t>
            </w:r>
          </w:p>
        </w:tc>
        <w:tc>
          <w:tcPr/>
          <w:p>
            <w:pPr>
              <w:pStyle w:val="Compact"/>
            </w:pPr>
            <w:r>
              <w:t xml:space="preserve">Acceleration from Medicare Supplement rate increases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 underwriting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$340M / 41%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$349M / 41%</w:t>
            </w:r>
          </w:p>
        </w:tc>
        <w:tc>
          <w:tcPr/>
          <w:p>
            <w:pPr>
              <w:pStyle w:val="Compact"/>
            </w:pPr>
            <w:r>
              <w:t xml:space="preserve">Around 41%; no need for a reserve-related gain in 2Q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Health underwriting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$98M / 26%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$95M / 23%</w:t>
            </w:r>
          </w:p>
        </w:tc>
        <w:tc>
          <w:tcPr/>
          <w:p>
            <w:pPr>
              <w:pStyle w:val="Compact"/>
            </w:pPr>
            <w:r>
              <w:t xml:space="preserve">Above 25% margin would validate the anticipated step-up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American Income agent count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12,241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11,064</w:t>
            </w:r>
          </w:p>
        </w:tc>
        <w:tc>
          <w:tcPr/>
          <w:p>
            <w:pPr>
              <w:pStyle w:val="Compact"/>
            </w:pPr>
            <w:r>
              <w:t xml:space="preserve">Evidence that compensation changes are stabilizing recruitment/retention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$226M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$203M</w:t>
            </w:r>
          </w:p>
        </w:tc>
        <w:tc>
          <w:tcPr/>
          <w:p>
            <w:pPr>
              <w:pStyle w:val="Compact"/>
            </w:pPr>
            <w:r>
              <w:t xml:space="preserve">Pace toward</w:t>
            </w:r>
            <w:r>
              <w:t xml:space="preserve"> </w:t>
            </w:r>
            <m:oMath>
              <m:r>
                <m:t>560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610M for the year</w:t>
            </w:r>
          </w:p>
        </w:tc>
      </w:tr>
    </w:tbl>
    <w:bookmarkEnd w:id="16"/>
    <w:bookmarkStart w:id="17" w:name="guidance-framework-and-earnings-setup"/>
    <w:p>
      <w:pPr>
        <w:pStyle w:val="Heading2"/>
      </w:pPr>
      <w:r>
        <w:t xml:space="preserve">Guidance framework and earnings setup</w:t>
      </w:r>
    </w:p>
    <w:p>
      <w:pPr>
        <w:pStyle w:val="FirstParagraph"/>
      </w:pPr>
      <w:r>
        <w:t xml:space="preserve">Management’s current 2026 operating-EPS guidance is</w:t>
      </w:r>
      <w:r>
        <w:t xml:space="preserve"> </w:t>
      </w:r>
      <m:oMath>
        <m:r>
          <m:t>15.40</m:t>
        </m:r>
        <m:r>
          <m:rPr>
            <m:sty m:val="p"/>
          </m:rPr>
          <m:t>–</m:t>
        </m:r>
      </m:oMath>
      <w:r>
        <w:rPr>
          <w:b/>
          <w:bCs/>
        </w:rPr>
        <w:t xml:space="preserve">15.90</w:t>
      </w:r>
      <w:r>
        <w:t xml:space="preserve">, with a midpoint of</w:t>
      </w:r>
      <w:r>
        <w:t xml:space="preserve"> </w:t>
      </w:r>
      <w:r>
        <w:rPr>
          <w:b/>
          <w:bCs/>
        </w:rPr>
        <w:t xml:space="preserve">$15.65</w:t>
      </w:r>
      <w:r>
        <w:t xml:space="preserve">, representing approximately</w:t>
      </w:r>
      <w:r>
        <w:t xml:space="preserve"> </w:t>
      </w:r>
      <w:r>
        <w:rPr>
          <w:b/>
          <w:bCs/>
        </w:rPr>
        <w:t xml:space="preserve">8% reported EPS growth</w:t>
      </w:r>
      <w:r>
        <w:t xml:space="preserve">. Importantly, the guidance includes the expected 3Q life-assumption benefit.</w:t>
      </w:r>
    </w:p>
    <w:p>
      <w:pPr>
        <w:pStyle w:val="BodyText"/>
      </w:pPr>
      <w:r>
        <w:t xml:space="preserve">Management instead frames</w:t>
      </w:r>
      <w:r>
        <w:t xml:space="preserve"> </w:t>
      </w:r>
      <w:r>
        <w:rPr>
          <w:b/>
          <w:bCs/>
        </w:rPr>
        <w:t xml:space="preserve">normalized EPS growth</w:t>
      </w:r>
      <w:r>
        <w:t xml:space="preserve">—excluding the assumption-update impacts in both 2025 and 2026—at approximately</w:t>
      </w:r>
      <w:r>
        <w:t xml:space="preserve"> </w:t>
      </w:r>
      <w:r>
        <w:rPr>
          <w:b/>
          <w:bCs/>
        </w:rPr>
        <w:t xml:space="preserve">11%</w:t>
      </w:r>
      <w:r>
        <w:t xml:space="preserve"> </w:t>
      </w:r>
      <w:r>
        <w:t xml:space="preserve">at the midpoint. That normalized figure is likely the better measure of sustainable earnings power.</w:t>
      </w:r>
    </w:p>
    <w:p>
      <w:pPr>
        <w:pStyle w:val="BodyText"/>
      </w:pPr>
      <w:r>
        <w:t xml:space="preserve">For 2Q, investors should focus on the underlying cadence rather than expect a one-time reserve gain: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Life:</w:t>
      </w:r>
      <w:r>
        <w:t xml:space="preserve"> </w:t>
      </w:r>
      <w:r>
        <w:t xml:space="preserve">roughly stable margin near 41%.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Health:</w:t>
      </w:r>
      <w:r>
        <w:t xml:space="preserve"> </w:t>
      </w:r>
      <w:r>
        <w:t xml:space="preserve">meaningful margin improvement from rate increases.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Investment income:</w:t>
      </w:r>
      <w:r>
        <w:t xml:space="preserve"> </w:t>
      </w:r>
      <w:r>
        <w:t xml:space="preserve">continued modest growth, supported by reinvestment yields above portfolio yields.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Shares:</w:t>
      </w:r>
      <w:r>
        <w:t xml:space="preserve"> </w:t>
      </w:r>
      <w:r>
        <w:t xml:space="preserve">a lower diluted count should remain an important EPS tailwind.</w:t>
      </w:r>
    </w:p>
    <w:bookmarkEnd w:id="17"/>
    <w:bookmarkStart w:id="18" w:name="bull-case-into-the-print"/>
    <w:p>
      <w:pPr>
        <w:pStyle w:val="Heading2"/>
      </w:pPr>
      <w:r>
        <w:t xml:space="preserve">Bull case into the print</w:t>
      </w:r>
    </w:p>
    <w:p>
      <w:pPr>
        <w:pStyle w:val="FirstParagraph"/>
      </w:pPr>
      <w:r>
        <w:t xml:space="preserve">A constructive report would likely include:</w:t>
      </w:r>
    </w:p>
    <w:p>
      <w:pPr>
        <w:pStyle w:val="Compact"/>
        <w:numPr>
          <w:ilvl w:val="0"/>
          <w:numId w:val="1009"/>
        </w:numPr>
      </w:pPr>
      <w:r>
        <w:t xml:space="preserve">Health margin above 25%, led by improvement at United American.</w:t>
      </w:r>
    </w:p>
    <w:p>
      <w:pPr>
        <w:pStyle w:val="Compact"/>
        <w:numPr>
          <w:ilvl w:val="0"/>
          <w:numId w:val="1009"/>
        </w:numPr>
      </w:pPr>
      <w:r>
        <w:t xml:space="preserve">Life margin around or above the 41% normalized level.</w:t>
      </w:r>
    </w:p>
    <w:p>
      <w:pPr>
        <w:pStyle w:val="Compact"/>
        <w:numPr>
          <w:ilvl w:val="0"/>
          <w:numId w:val="1009"/>
        </w:numPr>
      </w:pPr>
      <w:r>
        <w:t xml:space="preserve">Sustained strong Medicare Supplement sales without unfavorable claims trends.</w:t>
      </w:r>
    </w:p>
    <w:p>
      <w:pPr>
        <w:pStyle w:val="Compact"/>
        <w:numPr>
          <w:ilvl w:val="0"/>
          <w:numId w:val="1009"/>
        </w:numPr>
      </w:pPr>
      <w:r>
        <w:t xml:space="preserve">Stabilization in American Income agent count or encouraging leading indicators.</w:t>
      </w:r>
    </w:p>
    <w:p>
      <w:pPr>
        <w:pStyle w:val="Compact"/>
        <w:numPr>
          <w:ilvl w:val="0"/>
          <w:numId w:val="1009"/>
        </w:numPr>
      </w:pPr>
      <w:r>
        <w:t xml:space="preserve">Reaffirmed or increased operating-EPS and repurchase guidance.</w:t>
      </w:r>
    </w:p>
    <w:p>
      <w:pPr>
        <w:pStyle w:val="Compact"/>
        <w:numPr>
          <w:ilvl w:val="0"/>
          <w:numId w:val="1009"/>
        </w:numPr>
      </w:pPr>
      <w:r>
        <w:t xml:space="preserve">Confirmation that the anticipated 3Q assumption-update benefit remains in the stated range.</w:t>
      </w:r>
    </w:p>
    <w:p>
      <w:pPr>
        <w:pStyle w:val="Compact"/>
        <w:numPr>
          <w:ilvl w:val="0"/>
          <w:numId w:val="1009"/>
        </w:numPr>
      </w:pPr>
      <w:r>
        <w:t xml:space="preserve">Clear progress on Bermuda regulatory and capital-management plans.</w:t>
      </w:r>
    </w:p>
    <w:bookmarkEnd w:id="18"/>
    <w:bookmarkStart w:id="19" w:name="bear-case-into-the-print"/>
    <w:p>
      <w:pPr>
        <w:pStyle w:val="Heading2"/>
      </w:pPr>
      <w:r>
        <w:t xml:space="preserve">Bear case into the print</w:t>
      </w:r>
    </w:p>
    <w:p>
      <w:pPr>
        <w:pStyle w:val="FirstParagraph"/>
      </w:pPr>
      <w:r>
        <w:t xml:space="preserve">The adverse setup would be:</w:t>
      </w:r>
    </w:p>
    <w:p>
      <w:pPr>
        <w:pStyle w:val="Compact"/>
        <w:numPr>
          <w:ilvl w:val="0"/>
          <w:numId w:val="1010"/>
        </w:numPr>
      </w:pPr>
      <w:r>
        <w:t xml:space="preserve">Health margin remains near the 1Q 23% level despite expected rate-increase benefits.</w:t>
      </w:r>
    </w:p>
    <w:p>
      <w:pPr>
        <w:pStyle w:val="Compact"/>
        <w:numPr>
          <w:ilvl w:val="0"/>
          <w:numId w:val="1010"/>
        </w:numPr>
      </w:pPr>
      <w:r>
        <w:t xml:space="preserve">Higher lapse rates or weaker agent retention pressure life sales.</w:t>
      </w:r>
    </w:p>
    <w:p>
      <w:pPr>
        <w:pStyle w:val="Compact"/>
        <w:numPr>
          <w:ilvl w:val="0"/>
          <w:numId w:val="1010"/>
        </w:numPr>
      </w:pPr>
      <w:r>
        <w:t xml:space="preserve">American Income agent count continues to fall without evidence that 2Q compensation changes are working.</w:t>
      </w:r>
    </w:p>
    <w:p>
      <w:pPr>
        <w:pStyle w:val="Compact"/>
        <w:numPr>
          <w:ilvl w:val="0"/>
          <w:numId w:val="1010"/>
        </w:numPr>
      </w:pPr>
      <w:r>
        <w:t xml:space="preserve">Medicare Supplement utilization or morbidity trends deteriorate.</w:t>
      </w:r>
    </w:p>
    <w:p>
      <w:pPr>
        <w:pStyle w:val="Compact"/>
        <w:numPr>
          <w:ilvl w:val="0"/>
          <w:numId w:val="1010"/>
        </w:numPr>
      </w:pPr>
      <w:r>
        <w:t xml:space="preserve">Investment income or capital generation disappoints, limiting buybacks.</w:t>
      </w:r>
    </w:p>
    <w:p>
      <w:pPr>
        <w:pStyle w:val="Compact"/>
        <w:numPr>
          <w:ilvl w:val="0"/>
          <w:numId w:val="1010"/>
        </w:numPr>
      </w:pPr>
      <w:r>
        <w:t xml:space="preserve">Guidance is maintained only because of the expected 3Q assumption gain while normalized earnings expectations weaken.</w:t>
      </w:r>
    </w:p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GL’s 2Q report is principally an</w:t>
      </w:r>
      <w:r>
        <w:t xml:space="preserve"> </w:t>
      </w:r>
      <w:r>
        <w:rPr>
          <w:b/>
          <w:bCs/>
        </w:rPr>
        <w:t xml:space="preserve">underwriting-quality and execution</w:t>
      </w:r>
      <w:r>
        <w:t xml:space="preserve"> </w:t>
      </w:r>
      <w:r>
        <w:t xml:space="preserve">test. The company has already established a favorable 2026 framework: stable life margins, improving health economics, high reinvestment yields, strong cash generation, and aggressive share repurchases. The stock’s outperformance means investors will likely demand proof that the health-margin step-up is underway and that American Income’s agent-count decline is temporary.</w:t>
      </w:r>
    </w:p>
    <w:p>
      <w:pPr>
        <w:pStyle w:val="BodyText"/>
      </w:pPr>
      <w:r>
        <w:t xml:space="preserve">The most constructive outcome is not necessarily a large EPS beat. It is a report showing that</w:t>
      </w:r>
      <w:r>
        <w:t xml:space="preserve"> </w:t>
      </w:r>
      <w:r>
        <w:rPr>
          <w:b/>
          <w:bCs/>
        </w:rPr>
        <w:t xml:space="preserve">health rate actions are flowing through, life margins remain durable around 41%, the agency model is stabilizing, and management can retain confidence in normalized double-digit EPS growth beyond the 3Q reserve-assumption benefit.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 reviewed: Globe Life 1Q26 earnings release and earnings-call transcript; Globe Life 2Q25 earnings release; Globe Life’s July 8, 2026 earnings-date announcement; Globe Life’s June 29, 2026 Form 8-K; historical GL and SPY closing-price data through July 21, 2026.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2026-07-22T00:57:01Z</dcterms:created>
  <dcterms:modified xsi:type="dcterms:W3CDTF">2026-07-22T00:57:01Z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