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m-earnings-predictions--2026-07-21"/>
    <w:p>
      <w:pPr>
        <w:pStyle w:val="Heading1"/>
      </w:pPr>
      <w:r>
        <w:t xml:space="preserve">GM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~$3.32 vs. cons $3.13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~$46.60B vs. cons $45.96B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GM North America adjusted EBIT margin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~8.4% vs. cons 8.2%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~$14.5B midpoint vs. cons $14.7B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~$12.50 midpoint vs. cons $12.85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automotive free cash flow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~$10.0B midpoint vs. cons $10.18B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+0.7% (FADE)</w:t>
            </w:r>
          </w:p>
        </w:tc>
        <w:tc>
          <w:tcPr/>
          <w:p>
            <w:pPr>
              <w:pStyle w:val="Compact"/>
            </w:pPr>
            <w:r>
              <w:t xml:space="preserve">A Q2 operating beat should drive the initial gain, but reiterated FY2026 guidance of ~$12.50 adjusted EPS versus consensus $12.85 implies the beat is absorbed by second-half commodity, tariff and launch costs; negative out-period estimate revisions should fade most of the day-1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2026-07-21T00:19:59Z</dcterms:created>
  <dcterms:modified xsi:type="dcterms:W3CDTF">2026-07-21T00:19:59Z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