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general-motors-q2-2026-earnings-preview"/>
    <w:p>
      <w:pPr>
        <w:pStyle w:val="Heading1"/>
      </w:pPr>
      <w:r>
        <w:t xml:space="preserve">General Motors Q2 2026 Earnings Preview</w:t>
      </w:r>
    </w:p>
    <w:p>
      <w:pPr>
        <w:pStyle w:val="BlockText"/>
      </w:pPr>
      <w:r>
        <w:rPr>
          <w:b/>
          <w:bCs/>
        </w:rPr>
        <w:t xml:space="preserve">Timing note:</w:t>
      </w:r>
      <w:r>
        <w:t xml:space="preserve"> </w:t>
      </w:r>
      <w:r>
        <w:t xml:space="preserve">GM’s official schedule calls for results on</w:t>
      </w:r>
      <w:r>
        <w:t xml:space="preserve"> </w:t>
      </w:r>
      <w:r>
        <w:rPr>
          <w:b/>
          <w:bCs/>
        </w:rPr>
        <w:t xml:space="preserve">Tuesday, July 21, 2026 at approximately 6:30 a.m. ET</w:t>
      </w:r>
      <w:r>
        <w:t xml:space="preserve">, followed by the earnings call at</w:t>
      </w:r>
      <w:r>
        <w:t xml:space="preserve"> </w:t>
      </w:r>
      <w:r>
        <w:rPr>
          <w:b/>
          <w:bCs/>
        </w:rPr>
        <w:t xml:space="preserve">8:30 a.m. ET</w:t>
      </w:r>
      <w:r>
        <w:t xml:space="preserve">. Given today’s date is July 21, the report is scheduled for</w:t>
      </w:r>
      <w:r>
        <w:t xml:space="preserve"> </w:t>
      </w:r>
      <w:r>
        <w:rPr>
          <w:b/>
          <w:bCs/>
        </w:rPr>
        <w:t xml:space="preserve">today</w:t>
      </w:r>
      <w:r>
        <w:t xml:space="preserve">, not tomorrow. This preview is written as if results have not yet been released. (</w:t>
      </w:r>
      <w:hyperlink r:id="rId9">
        <w:r>
          <w:rPr>
            <w:rStyle w:val="Hyperlink"/>
          </w:rPr>
          <w:t xml:space="preserve">generalmotorscompany.gcs-web.com</w:t>
        </w:r>
      </w:hyperlink>
      <w:r>
        <w:t xml:space="preserve">)</w:t>
      </w:r>
    </w:p>
    <w:bookmarkStart w:id="11" w:name="executive-view"/>
    <w:p>
      <w:pPr>
        <w:pStyle w:val="Heading2"/>
      </w:pPr>
      <w:r>
        <w:t xml:space="preserve">Executive view</w:t>
      </w:r>
    </w:p>
    <w:p>
      <w:pPr>
        <w:pStyle w:val="FirstParagraph"/>
      </w:pPr>
      <w:r>
        <w:t xml:space="preserve">The central question is not whether GM can beat a quarterly earnings estimate. It is whether management can</w:t>
      </w:r>
      <w:r>
        <w:t xml:space="preserve"> </w:t>
      </w:r>
      <w:r>
        <w:rPr>
          <w:b/>
          <w:bCs/>
        </w:rPr>
        <w:t xml:space="preserve">defend its full-year outlook while preserving North American margins</w:t>
      </w:r>
      <w:r>
        <w:t xml:space="preserve"> </w:t>
      </w:r>
      <w:r>
        <w:t xml:space="preserve">against weaker unit sales, sharply lower EV demand, rising commodity costs, and renewed trade-policy uncertainty.</w:t>
      </w:r>
    </w:p>
    <w:p>
      <w:pPr>
        <w:pStyle w:val="BodyText"/>
      </w:pPr>
      <w:r>
        <w:t xml:space="preserve">GM entered Q2 with considerable operating momentum. First-quarter adjusted EBIT was</w:t>
      </w:r>
      <w:r>
        <w:t xml:space="preserve"> </w:t>
      </w:r>
      <m:oMath>
        <m:r>
          <m:t>4.3</m:t>
        </m:r>
        <m:r>
          <m:t>b</m:t>
        </m:r>
        <m:r>
          <m:t>i</m:t>
        </m:r>
        <m:r>
          <m:t>l</m:t>
        </m:r>
        <m:r>
          <m:t>l</m:t>
        </m:r>
        <m:r>
          <m:t>i</m:t>
        </m:r>
        <m:r>
          <m:t>o</m:t>
        </m:r>
        <m:r>
          <m:t>n</m:t>
        </m:r>
        <m:r>
          <m:rPr>
            <m:sty m:val="p"/>
          </m:rPr>
          <m:t>,</m:t>
        </m:r>
        <m:r>
          <m:t>a</m:t>
        </m:r>
        <m:r>
          <m:t>n</m:t>
        </m:r>
        <m:r>
          <m:t>d</m:t>
        </m:r>
        <m:r>
          <m:t>m</m:t>
        </m:r>
        <m:r>
          <m:t>a</m:t>
        </m:r>
        <m:r>
          <m:t>n</m:t>
        </m:r>
        <m:r>
          <m:t>a</m:t>
        </m:r>
        <m:r>
          <m:t>g</m:t>
        </m:r>
        <m:r>
          <m:t>e</m:t>
        </m:r>
        <m:r>
          <m:t>m</m:t>
        </m:r>
        <m:r>
          <m:t>e</m:t>
        </m:r>
        <m:r>
          <m:t>n</m:t>
        </m:r>
        <m:r>
          <m:t>t</m:t>
        </m:r>
        <m:r>
          <m:t>r</m:t>
        </m:r>
        <m:r>
          <m:t>a</m:t>
        </m:r>
        <m:r>
          <m:t>i</m:t>
        </m:r>
        <m:r>
          <m:t>s</m:t>
        </m:r>
        <m:r>
          <m:t>e</m:t>
        </m:r>
        <m:r>
          <m:t>d</m:t>
        </m:r>
        <m:r>
          <m:t>2026</m:t>
        </m:r>
        <m:r>
          <m:t>a</m:t>
        </m:r>
        <m:r>
          <m:t>d</m:t>
        </m:r>
        <m:r>
          <m:t>j</m:t>
        </m:r>
        <m:r>
          <m:t>u</m:t>
        </m:r>
        <m:r>
          <m:t>s</m:t>
        </m:r>
        <m:r>
          <m:t>t</m:t>
        </m:r>
        <m:r>
          <m:t>e</m:t>
        </m:r>
        <m:r>
          <m:t>d</m:t>
        </m:r>
        <m:r>
          <m:t>E</m:t>
        </m:r>
        <m:r>
          <m:t>B</m:t>
        </m:r>
        <m:r>
          <m:t>I</m:t>
        </m:r>
        <m:r>
          <m:t>T</m:t>
        </m:r>
        <m:r>
          <m:t>g</m:t>
        </m:r>
        <m:r>
          <m:t>u</m:t>
        </m:r>
        <m:r>
          <m:t>i</m:t>
        </m:r>
        <m:r>
          <m:t>d</m:t>
        </m:r>
        <m:r>
          <m:t>a</m:t>
        </m:r>
        <m:r>
          <m:t>n</m:t>
        </m:r>
        <m:r>
          <m:t>c</m:t>
        </m:r>
        <m:r>
          <m:t>e</m:t>
        </m:r>
        <m:r>
          <m:t>t</m:t>
        </m:r>
        <m:r>
          <m:t>o</m:t>
        </m:r>
        <m:r>
          <m:rPr>
            <m:sty m:val="p"/>
          </m:rPr>
          <m:t>*</m:t>
        </m:r>
        <m:r>
          <m:rPr>
            <m:sty m:val="p"/>
          </m:rPr>
          <m:t>*</m:t>
        </m:r>
      </m:oMath>
      <w:r>
        <w:t xml:space="preserve">13.5–$15.5 billion** after recognizing a favorable $500 million tariff-related accounting adjustment. However, the underlying guidance was effectively unchanged: Q1 outperformance was expected to absorb higher commodity, freight and memory-chip costs. (</w:t>
      </w:r>
      <w:hyperlink r:id="rId10">
        <w:r>
          <w:rPr>
            <w:rStyle w:val="Hyperlink"/>
          </w:rPr>
          <w:t xml:space="preserve">investor.gm.com</w:t>
        </w:r>
      </w:hyperlink>
      <w:r>
        <w:t xml:space="preserve">)</w:t>
      </w:r>
    </w:p>
    <w:p>
      <w:pPr>
        <w:pStyle w:val="BodyText"/>
      </w:pPr>
      <w:r>
        <w:t xml:space="preserve">The setup is therefore mixed:</w:t>
      </w:r>
    </w:p>
    <w:p>
      <w:pPr>
        <w:pStyle w:val="Compact"/>
        <w:numPr>
          <w:ilvl w:val="0"/>
          <w:numId w:val="1001"/>
        </w:numPr>
      </w:pPr>
      <w:r>
        <w:rPr>
          <w:b/>
          <w:bCs/>
        </w:rPr>
        <w:t xml:space="preserve">Positive:</w:t>
      </w:r>
      <w:r>
        <w:t xml:space="preserve"> </w:t>
      </w:r>
      <w:r>
        <w:t xml:space="preserve">strong truck and SUV mix, disciplined incentives, lower EV losses, warranty savings and aggressive share repurchases.</w:t>
      </w:r>
    </w:p>
    <w:p>
      <w:pPr>
        <w:pStyle w:val="Compact"/>
        <w:numPr>
          <w:ilvl w:val="0"/>
          <w:numId w:val="1001"/>
        </w:numPr>
      </w:pPr>
      <w:r>
        <w:rPr>
          <w:b/>
          <w:bCs/>
        </w:rPr>
        <w:t xml:space="preserve">Negative:</w:t>
      </w:r>
      <w:r>
        <w:t xml:space="preserve"> </w:t>
      </w:r>
      <w:r>
        <w:t xml:space="preserve">U.S. sales fell 4.2%, China volume weakened materially, EV sales contracted sharply, and several cost pressures are weighted toward the second half.</w:t>
      </w:r>
    </w:p>
    <w:p>
      <w:pPr>
        <w:pStyle w:val="Compact"/>
        <w:numPr>
          <w:ilvl w:val="0"/>
          <w:numId w:val="1001"/>
        </w:numPr>
      </w:pPr>
      <w:r>
        <w:rPr>
          <w:b/>
          <w:bCs/>
        </w:rPr>
        <w:t xml:space="preserve">Most important:</w:t>
      </w:r>
      <w:r>
        <w:t xml:space="preserve"> </w:t>
      </w:r>
      <w:r>
        <w:t xml:space="preserve">the quality and credibility of management’s updated guidance will matter more than the headline EPS result.</w:t>
      </w:r>
    </w:p>
    <w:bookmarkEnd w:id="11"/>
    <w:bookmarkStart w:id="13" w:name="expectations-and-reference-points"/>
    <w:p>
      <w:pPr>
        <w:pStyle w:val="Heading2"/>
      </w:pPr>
      <w:r>
        <w:t xml:space="preserve">Expectations and reference points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expectation/reference</w:t>
            </w:r>
          </w:p>
        </w:tc>
        <w:tc>
          <w:tcPr/>
          <w:p>
            <w:pPr>
              <w:pStyle w:val="Compact"/>
              <w:jc w:val="right"/>
            </w:pPr>
            <w:r>
              <w:t xml:space="preserve">Q2 2025</w:t>
            </w:r>
          </w:p>
        </w:tc>
      </w:tr>
      <w:tr>
        <w:tc>
          <w:tcPr/>
          <w:p>
            <w:pPr>
              <w:pStyle w:val="Compact"/>
            </w:pPr>
            <w:r>
              <w:t xml:space="preserve">Adjusted EPS</w:t>
            </w:r>
          </w:p>
        </w:tc>
        <w:tc>
          <w:tcPr/>
          <w:p>
            <w:pPr>
              <w:pStyle w:val="Compact"/>
              <w:jc w:val="right"/>
            </w:pPr>
            <w:r>
              <w:t xml:space="preserve">Roughly</w:t>
            </w:r>
            <w:r>
              <w:t xml:space="preserve"> </w:t>
            </w:r>
            <w:r>
              <w:rPr>
                <w:b/>
                <w:bCs/>
              </w:rPr>
              <w:t xml:space="preserve">$3.13</w:t>
            </w:r>
            <w:r>
              <w:t xml:space="preserve"> </w:t>
            </w:r>
            <w:r>
              <w:t xml:space="preserve">consensus</w:t>
            </w:r>
          </w:p>
        </w:tc>
        <w:tc>
          <w:tcPr/>
          <w:p>
            <w:pPr>
              <w:pStyle w:val="Compact"/>
              <w:jc w:val="right"/>
            </w:pPr>
            <w:r>
              <w:t xml:space="preserve">$2.53</w:t>
            </w:r>
          </w:p>
        </w:tc>
      </w:tr>
      <w:tr>
        <w:tc>
          <w:tcPr/>
          <w:p>
            <w:pPr>
              <w:pStyle w:val="Compact"/>
            </w:pPr>
            <w:r>
              <w:t xml:space="preserve">Revenue</w:t>
            </w:r>
          </w:p>
        </w:tc>
        <w:tc>
          <w:tcPr/>
          <w:p>
            <w:pPr>
              <w:pStyle w:val="Compact"/>
              <w:jc w:val="right"/>
            </w:pPr>
            <w:r>
              <w:t xml:space="preserve">Roughly</w:t>
            </w:r>
            <w:r>
              <w:t xml:space="preserve"> </w:t>
            </w:r>
            <w:r>
              <w:rPr>
                <w:b/>
                <w:bCs/>
              </w:rPr>
              <w:t xml:space="preserve">$46.0 billion</w:t>
            </w:r>
            <w:r>
              <w:t xml:space="preserve"> </w:t>
            </w:r>
            <w:r>
              <w:t xml:space="preserve">consensus</w:t>
            </w:r>
          </w:p>
        </w:tc>
        <w:tc>
          <w:tcPr/>
          <w:p>
            <w:pPr>
              <w:pStyle w:val="Compact"/>
              <w:jc w:val="right"/>
            </w:pPr>
            <w:r>
              <w:t xml:space="preserve">$47.1 billion</w:t>
            </w:r>
          </w:p>
        </w:tc>
      </w:tr>
      <w:tr>
        <w:tc>
          <w:tcPr/>
          <w:p>
            <w:pPr>
              <w:pStyle w:val="Compact"/>
            </w:pPr>
            <w:r>
              <w:t xml:space="preserve">Adjusted EBIT</w:t>
            </w:r>
          </w:p>
        </w:tc>
        <w:tc>
          <w:tcPr/>
          <w:p>
            <w:pPr>
              <w:pStyle w:val="Compact"/>
              <w:jc w:val="right"/>
            </w:pPr>
            <w:r>
              <w:t xml:space="preserve">No formal consensus highlighted here</w:t>
            </w:r>
          </w:p>
        </w:tc>
        <w:tc>
          <w:tcPr/>
          <w:p>
            <w:pPr>
              <w:pStyle w:val="Compact"/>
              <w:jc w:val="right"/>
            </w:pPr>
            <w:r>
              <w:t xml:space="preserve">$3.0 billion</w:t>
            </w:r>
          </w:p>
        </w:tc>
      </w:tr>
      <w:tr>
        <w:tc>
          <w:tcPr/>
          <w:p>
            <w:pPr>
              <w:pStyle w:val="Compact"/>
            </w:pPr>
            <w:r>
              <w:t xml:space="preserve">GM North America adjusted margin</w:t>
            </w:r>
          </w:p>
        </w:tc>
        <w:tc>
          <w:tcPr/>
          <w:p>
            <w:pPr>
              <w:pStyle w:val="Compact"/>
              <w:jc w:val="right"/>
            </w:pPr>
            <w:r>
              <w:t xml:space="preserve">Key question: can it remain near the 8%–10% annual target?</w:t>
            </w:r>
          </w:p>
        </w:tc>
        <w:tc>
          <w:tcPr/>
          <w:p>
            <w:pPr>
              <w:pStyle w:val="Compact"/>
              <w:jc w:val="right"/>
            </w:pPr>
            <w:r>
              <w:t xml:space="preserve">6.1%</w:t>
            </w:r>
          </w:p>
        </w:tc>
      </w:tr>
      <w:tr>
        <w:tc>
          <w:tcPr/>
          <w:p>
            <w:pPr>
              <w:pStyle w:val="Compact"/>
            </w:pPr>
            <w:r>
              <w:t xml:space="preserve">U.S. deliveries</w:t>
            </w:r>
          </w:p>
        </w:tc>
        <w:tc>
          <w:tcPr/>
          <w:p>
            <w:pPr>
              <w:pStyle w:val="Compact"/>
              <w:jc w:val="right"/>
            </w:pPr>
            <w:r>
              <w:rPr>
                <w:b/>
                <w:bCs/>
              </w:rPr>
              <w:t xml:space="preserve">714,896, down 4.2%</w:t>
            </w:r>
          </w:p>
        </w:tc>
        <w:tc>
          <w:tcPr/>
          <w:p>
            <w:pPr>
              <w:pStyle w:val="Compact"/>
              <w:jc w:val="right"/>
            </w:pPr>
            <w:r>
              <w:t xml:space="preserve">746,588</w:t>
            </w:r>
          </w:p>
        </w:tc>
      </w:tr>
    </w:tbl>
    <w:p>
      <w:pPr>
        <w:pStyle w:val="BodyText"/>
      </w:pPr>
      <w:r>
        <w:t xml:space="preserve">Published consensus snapshots vary modestly: one recent estimate calls for adjusted EPS of $3.13 and revenue of $45.96 billion, while another puts the figures at $3.15 and $46.81 billion. (</w:t>
      </w:r>
      <w:hyperlink r:id="rId12">
        <w:r>
          <w:rPr>
            <w:rStyle w:val="Hyperlink"/>
          </w:rPr>
          <w:t xml:space="preserve">zacks.com</w:t>
        </w:r>
      </w:hyperlink>
      <w:r>
        <w:t xml:space="preserve">)</w:t>
      </w:r>
    </w:p>
    <w:p>
      <w:pPr>
        <w:pStyle w:val="BodyText"/>
      </w:pPr>
      <w:r>
        <w:t xml:space="preserve">A result near consensus would represent meaningful EPS growth despite lower revenue. That reflects a lower share count, less EV-related operating drag, warranty improvement and easier year-over-year comparisons following the tariff-heavy second quarter of 2025.</w:t>
      </w:r>
    </w:p>
    <w:bookmarkEnd w:id="13"/>
    <w:bookmarkStart w:id="15" w:name="X69e031f01c76fafadc4f5849c73339c372aa8b7"/>
    <w:p>
      <w:pPr>
        <w:pStyle w:val="Heading2"/>
      </w:pPr>
      <w:r>
        <w:t xml:space="preserve">1. North American margins are the key operating metric</w:t>
      </w:r>
    </w:p>
    <w:p>
      <w:pPr>
        <w:pStyle w:val="FirstParagraph"/>
      </w:pPr>
      <w:r>
        <w:t xml:space="preserve">GM’s first-quarter North American adjusted EBIT margin was 10.1%, but approximately 1.5 percentage points came from the tariff accounting adjustment. Excluding that item, the margin was about</w:t>
      </w:r>
      <w:r>
        <w:t xml:space="preserve"> </w:t>
      </w:r>
      <w:r>
        <w:rPr>
          <w:b/>
          <w:bCs/>
        </w:rPr>
        <w:t xml:space="preserve">8.6%</w:t>
      </w:r>
      <w:r>
        <w:t xml:space="preserve">, near the lower half of GM’s full-year</w:t>
      </w:r>
      <w:r>
        <w:t xml:space="preserve"> </w:t>
      </w:r>
      <w:r>
        <w:rPr>
          <w:b/>
          <w:bCs/>
        </w:rPr>
        <w:t xml:space="preserve">8%–10%</w:t>
      </w:r>
      <w:r>
        <w:t xml:space="preserve"> </w:t>
      </w:r>
      <w:r>
        <w:t xml:space="preserve">objective.</w:t>
      </w:r>
    </w:p>
    <w:p>
      <w:pPr>
        <w:pStyle w:val="BodyText"/>
      </w:pPr>
      <w:r>
        <w:t xml:space="preserve">Q2 should benefit from:</w:t>
      </w:r>
    </w:p>
    <w:p>
      <w:pPr>
        <w:pStyle w:val="Compact"/>
        <w:numPr>
          <w:ilvl w:val="0"/>
          <w:numId w:val="1002"/>
        </w:numPr>
      </w:pPr>
      <w:r>
        <w:t xml:space="preserve">Better availability after Q1 inventory constraints.</w:t>
      </w:r>
    </w:p>
    <w:p>
      <w:pPr>
        <w:pStyle w:val="Compact"/>
        <w:numPr>
          <w:ilvl w:val="0"/>
          <w:numId w:val="1002"/>
        </w:numPr>
      </w:pPr>
      <w:r>
        <w:t xml:space="preserve">Reduced downtime associated with full-size pickup tooling.</w:t>
      </w:r>
    </w:p>
    <w:p>
      <w:pPr>
        <w:pStyle w:val="Compact"/>
        <w:numPr>
          <w:ilvl w:val="0"/>
          <w:numId w:val="1002"/>
        </w:numPr>
      </w:pPr>
      <w:r>
        <w:t xml:space="preserve">Strong mix from pickups, SUVs and crossovers.</w:t>
      </w:r>
    </w:p>
    <w:p>
      <w:pPr>
        <w:pStyle w:val="Compact"/>
        <w:numPr>
          <w:ilvl w:val="0"/>
          <w:numId w:val="1002"/>
        </w:numPr>
      </w:pPr>
      <w:r>
        <w:t xml:space="preserve">Lower EV losses.</w:t>
      </w:r>
    </w:p>
    <w:p>
      <w:pPr>
        <w:pStyle w:val="Compact"/>
        <w:numPr>
          <w:ilvl w:val="0"/>
          <w:numId w:val="1002"/>
        </w:numPr>
      </w:pPr>
      <w:r>
        <w:t xml:space="preserve">Continuing warranty-cost improvement.</w:t>
      </w:r>
    </w:p>
    <w:p>
      <w:pPr>
        <w:pStyle w:val="Compact"/>
        <w:numPr>
          <w:ilvl w:val="0"/>
          <w:numId w:val="1002"/>
        </w:numPr>
      </w:pPr>
      <w:r>
        <w:t xml:space="preserve">Low incentive spending relative to the industry.</w:t>
      </w:r>
    </w:p>
    <w:p>
      <w:pPr>
        <w:pStyle w:val="FirstParagraph"/>
      </w:pPr>
      <w:r>
        <w:t xml:space="preserve">But volume was not uniformly strong. GM’s U.S. sales fell 4.2%, reflecting a smaller EV market, discontinued models and inventory constraints. The product-level mix was more encouraging than the headline:</w:t>
      </w:r>
    </w:p>
    <w:p>
      <w:pPr>
        <w:pStyle w:val="Compact"/>
        <w:numPr>
          <w:ilvl w:val="0"/>
          <w:numId w:val="1003"/>
        </w:numPr>
      </w:pPr>
      <w:r>
        <w:t xml:space="preserve">GMC Sierra sales increased about 5%.</w:t>
      </w:r>
    </w:p>
    <w:p>
      <w:pPr>
        <w:pStyle w:val="Compact"/>
        <w:numPr>
          <w:ilvl w:val="0"/>
          <w:numId w:val="1003"/>
        </w:numPr>
      </w:pPr>
      <w:r>
        <w:t xml:space="preserve">Chevrolet Traverse rose about 20%.</w:t>
      </w:r>
    </w:p>
    <w:p>
      <w:pPr>
        <w:pStyle w:val="Compact"/>
        <w:numPr>
          <w:ilvl w:val="0"/>
          <w:numId w:val="1003"/>
        </w:numPr>
      </w:pPr>
      <w:r>
        <w:t xml:space="preserve">Trailblazer rose about 28%.</w:t>
      </w:r>
    </w:p>
    <w:p>
      <w:pPr>
        <w:pStyle w:val="Compact"/>
        <w:numPr>
          <w:ilvl w:val="0"/>
          <w:numId w:val="1003"/>
        </w:numPr>
      </w:pPr>
      <w:r>
        <w:t xml:space="preserve">Equinox increased about 7%.</w:t>
      </w:r>
    </w:p>
    <w:p>
      <w:pPr>
        <w:pStyle w:val="Compact"/>
        <w:numPr>
          <w:ilvl w:val="0"/>
          <w:numId w:val="1003"/>
        </w:numPr>
      </w:pPr>
      <w:r>
        <w:t xml:space="preserve">Total Silverado sales declined approximately 8%.</w:t>
      </w:r>
    </w:p>
    <w:p>
      <w:pPr>
        <w:pStyle w:val="Compact"/>
        <w:numPr>
          <w:ilvl w:val="0"/>
          <w:numId w:val="1003"/>
        </w:numPr>
      </w:pPr>
      <w:r>
        <w:t xml:space="preserve">GM nevertheless remained the leading U.S. automaker and led in full-size pickups and large SUVs. (</w:t>
      </w:r>
      <w:hyperlink r:id="rId14">
        <w:r>
          <w:rPr>
            <w:rStyle w:val="Hyperlink"/>
          </w:rPr>
          <w:t xml:space="preserve">news.gm.com</w:t>
        </w:r>
      </w:hyperlink>
      <w:r>
        <w:t xml:space="preserve">)</w:t>
      </w:r>
    </w:p>
    <w:p>
      <w:pPr>
        <w:pStyle w:val="FirstParagraph"/>
      </w:pPr>
      <w:r>
        <w:rPr>
          <w:b/>
          <w:bCs/>
        </w:rPr>
        <w:t xml:space="preserve">Investor takeaway:</w:t>
      </w:r>
      <w:r>
        <w:t xml:space="preserve"> </w:t>
      </w:r>
      <w:r>
        <w:t xml:space="preserve">A GM North America margin materially above 8% would support the view that mix, pricing and cost execution can offset lower unit volume. A margin closer to 7% would raise doubts about the achievability of the full-year target, particularly with second-half cost pressures still ahead.</w:t>
      </w:r>
    </w:p>
    <w:bookmarkEnd w:id="15"/>
    <w:bookmarkStart w:id="17" w:name="X0c0663dd7c12b4932b0b99dd8b3328454272600"/>
    <w:p>
      <w:pPr>
        <w:pStyle w:val="Heading2"/>
      </w:pPr>
      <w:r>
        <w:t xml:space="preserve">2. Lower EV sales may help earnings—but expose a strategic problem</w:t>
      </w:r>
    </w:p>
    <w:p>
      <w:pPr>
        <w:pStyle w:val="FirstParagraph"/>
      </w:pPr>
      <w:r>
        <w:t xml:space="preserve">GM’s Q2 EV performance was weak in unit terms:</w:t>
      </w:r>
    </w:p>
    <w:p>
      <w:pPr>
        <w:pStyle w:val="Compact"/>
        <w:numPr>
          <w:ilvl w:val="0"/>
          <w:numId w:val="1004"/>
        </w:numPr>
      </w:pPr>
      <w:r>
        <w:t xml:space="preserve">Equinox EV sales fell roughly 62%.</w:t>
      </w:r>
    </w:p>
    <w:p>
      <w:pPr>
        <w:pStyle w:val="Compact"/>
        <w:numPr>
          <w:ilvl w:val="0"/>
          <w:numId w:val="1004"/>
        </w:numPr>
      </w:pPr>
      <w:r>
        <w:t xml:space="preserve">Blazer EV fell about 68%.</w:t>
      </w:r>
    </w:p>
    <w:p>
      <w:pPr>
        <w:pStyle w:val="Compact"/>
        <w:numPr>
          <w:ilvl w:val="0"/>
          <w:numId w:val="1004"/>
        </w:numPr>
      </w:pPr>
      <w:r>
        <w:t xml:space="preserve">Hummer EV fell about 57%.</w:t>
      </w:r>
    </w:p>
    <w:p>
      <w:pPr>
        <w:pStyle w:val="Compact"/>
        <w:numPr>
          <w:ilvl w:val="0"/>
          <w:numId w:val="1004"/>
        </w:numPr>
      </w:pPr>
      <w:r>
        <w:t xml:space="preserve">Silverado EV fell about 26%.</w:t>
      </w:r>
    </w:p>
    <w:p>
      <w:pPr>
        <w:pStyle w:val="Compact"/>
        <w:numPr>
          <w:ilvl w:val="0"/>
          <w:numId w:val="1004"/>
        </w:numPr>
      </w:pPr>
      <w:r>
        <w:t xml:space="preserve">The relaunched Bolt contributed approximately 3,400 units.</w:t>
      </w:r>
    </w:p>
    <w:p>
      <w:pPr>
        <w:pStyle w:val="FirstParagraph"/>
      </w:pPr>
      <w:r>
        <w:t xml:space="preserve">Cadillac’s newer Optiq and Vistiq performed better, and GM remained the second-largest U.S. EV seller, but the broad picture was one of substantial contraction. (</w:t>
      </w:r>
      <w:hyperlink r:id="rId16">
        <w:r>
          <w:rPr>
            <w:rStyle w:val="Hyperlink"/>
          </w:rPr>
          <w:t xml:space="preserve">investor.gm.com</w:t>
        </w:r>
      </w:hyperlink>
      <w:r>
        <w:t xml:space="preserve">)</w:t>
      </w:r>
    </w:p>
    <w:p>
      <w:pPr>
        <w:pStyle w:val="BodyText"/>
      </w:pPr>
      <w:r>
        <w:t xml:space="preserve">In the near term, this can be financially positive. Management previously expected a</w:t>
      </w:r>
      <w:r>
        <w:t xml:space="preserve"> </w:t>
      </w:r>
      <m:oMath>
        <m:r>
          <m:t>1.0</m:t>
        </m:r>
        <m:r>
          <m:rPr>
            <m:sty m:val="p"/>
          </m:rPr>
          <m:t>–</m:t>
        </m:r>
      </m:oMath>
      <w:r>
        <w:rPr>
          <w:b/>
          <w:bCs/>
        </w:rPr>
        <w:t xml:space="preserve">1.5 billion full-year improvement in EV profitability</w:t>
      </w:r>
      <w:r>
        <w:t xml:space="preserve">, driven by lower production, manufacturing efficiencies and reduced fixed costs. Lower loss-making EV volume can improve consolidated EBIT even while weakening GM’s long-term EV position.</w:t>
      </w:r>
    </w:p>
    <w:p>
      <w:pPr>
        <w:pStyle w:val="BodyText"/>
      </w:pPr>
      <w:r>
        <w:t xml:space="preserve">Questions for the call include:</w:t>
      </w:r>
    </w:p>
    <w:p>
      <w:pPr>
        <w:pStyle w:val="Compact"/>
        <w:numPr>
          <w:ilvl w:val="0"/>
          <w:numId w:val="1005"/>
        </w:numPr>
      </w:pPr>
      <w:r>
        <w:t xml:space="preserve">Is EV loss reduction tracking ahead of the original plan?</w:t>
      </w:r>
    </w:p>
    <w:p>
      <w:pPr>
        <w:pStyle w:val="Compact"/>
        <w:numPr>
          <w:ilvl w:val="0"/>
          <w:numId w:val="1005"/>
        </w:numPr>
      </w:pPr>
      <w:r>
        <w:t xml:space="preserve">How much of the improvement comes from genuine unit economics versus simply producing fewer vehicles?</w:t>
      </w:r>
    </w:p>
    <w:p>
      <w:pPr>
        <w:pStyle w:val="Compact"/>
        <w:numPr>
          <w:ilvl w:val="0"/>
          <w:numId w:val="1005"/>
        </w:numPr>
      </w:pPr>
      <w:r>
        <w:t xml:space="preserve">Have battery plants worked down enough inventory to resume more normalized production?</w:t>
      </w:r>
    </w:p>
    <w:p>
      <w:pPr>
        <w:pStyle w:val="Compact"/>
        <w:numPr>
          <w:ilvl w:val="0"/>
          <w:numId w:val="1005"/>
        </w:numPr>
      </w:pPr>
      <w:r>
        <w:t xml:space="preserve">Is GM seeing stabilization in retail EV demand, or will additional capacity cuts be required?</w:t>
      </w:r>
    </w:p>
    <w:p>
      <w:pPr>
        <w:pStyle w:val="Compact"/>
        <w:numPr>
          <w:ilvl w:val="0"/>
          <w:numId w:val="1005"/>
        </w:numPr>
      </w:pPr>
      <w:r>
        <w:t xml:space="preserve">What is the profitability and demand outlook for the new Bolt?</w:t>
      </w:r>
    </w:p>
    <w:p>
      <w:pPr>
        <w:pStyle w:val="FirstParagraph"/>
      </w:pPr>
      <w:r>
        <w:t xml:space="preserve">The strongest result would be</w:t>
      </w:r>
      <w:r>
        <w:t xml:space="preserve"> </w:t>
      </w:r>
      <w:r>
        <w:rPr>
          <w:b/>
          <w:bCs/>
        </w:rPr>
        <w:t xml:space="preserve">lower EV losses without additional impairments or capacity actions</w:t>
      </w:r>
      <w:r>
        <w:t xml:space="preserve">. Another large restructuring charge would imply that GM’s prior rightsizing was incomplete.</w:t>
      </w:r>
    </w:p>
    <w:bookmarkEnd w:id="17"/>
    <w:bookmarkStart w:id="19" w:name="X23193b5b35ef24b4562142810b5cc08afae0df1"/>
    <w:p>
      <w:pPr>
        <w:pStyle w:val="Heading2"/>
      </w:pPr>
      <w:r>
        <w:t xml:space="preserve">3. Guidance faces a harder test than the quarter itself</w:t>
      </w:r>
    </w:p>
    <w:p>
      <w:pPr>
        <w:pStyle w:val="FirstParagraph"/>
      </w:pPr>
      <w:r>
        <w:t xml:space="preserve">Current 2026 guidance includes:</w:t>
      </w:r>
    </w:p>
    <w:p>
      <w:pPr>
        <w:pStyle w:val="Compact"/>
        <w:numPr>
          <w:ilvl w:val="0"/>
          <w:numId w:val="1006"/>
        </w:numPr>
      </w:pPr>
      <w:r>
        <w:rPr>
          <w:b/>
          <w:bCs/>
        </w:rPr>
        <w:t xml:space="preserve">Adjusted EBIT:</w:t>
      </w:r>
      <w:r>
        <w:t xml:space="preserve"> </w:t>
      </w:r>
      <m:oMath>
        <m:r>
          <m:t>13.5</m:t>
        </m:r>
        <m:r>
          <m:rPr>
            <m:sty m:val="p"/>
          </m:rPr>
          <m:t>–</m:t>
        </m:r>
      </m:oMath>
      <w:r>
        <w:t xml:space="preserve">15.5 billion.</w:t>
      </w:r>
    </w:p>
    <w:p>
      <w:pPr>
        <w:pStyle w:val="Compact"/>
        <w:numPr>
          <w:ilvl w:val="0"/>
          <w:numId w:val="1006"/>
        </w:numPr>
      </w:pPr>
      <w:r>
        <w:rPr>
          <w:b/>
          <w:bCs/>
        </w:rPr>
        <w:t xml:space="preserve">Adjusted EPS:</w:t>
      </w:r>
      <w:r>
        <w:t xml:space="preserve"> </w:t>
      </w:r>
      <m:oMath>
        <m:r>
          <m:t>11.50</m:t>
        </m:r>
        <m:r>
          <m:rPr>
            <m:sty m:val="p"/>
          </m:rPr>
          <m:t>–</m:t>
        </m:r>
      </m:oMath>
      <w:r>
        <w:t xml:space="preserve">13.50.</w:t>
      </w:r>
    </w:p>
    <w:p>
      <w:pPr>
        <w:pStyle w:val="Compact"/>
        <w:numPr>
          <w:ilvl w:val="0"/>
          <w:numId w:val="1006"/>
        </w:numPr>
      </w:pPr>
      <w:r>
        <w:rPr>
          <w:b/>
          <w:bCs/>
        </w:rPr>
        <w:t xml:space="preserve">Adjusted automotive free cash flow:</w:t>
      </w:r>
      <w:r>
        <w:t xml:space="preserve"> </w:t>
      </w:r>
      <m:oMath>
        <m:r>
          <m:t>9</m:t>
        </m:r>
        <m:r>
          <m:rPr>
            <m:sty m:val="p"/>
          </m:rPr>
          <m:t>–</m:t>
        </m:r>
      </m:oMath>
      <w:r>
        <w:t xml:space="preserve">11 billion.</w:t>
      </w:r>
    </w:p>
    <w:p>
      <w:pPr>
        <w:pStyle w:val="Compact"/>
        <w:numPr>
          <w:ilvl w:val="0"/>
          <w:numId w:val="1006"/>
        </w:numPr>
      </w:pPr>
      <w:r>
        <w:rPr>
          <w:b/>
          <w:bCs/>
        </w:rPr>
        <w:t xml:space="preserve">North American adjusted EBIT margin:</w:t>
      </w:r>
      <w:r>
        <w:t xml:space="preserve"> </w:t>
      </w:r>
      <w:r>
        <w:t xml:space="preserve">8%–10%.</w:t>
      </w:r>
    </w:p>
    <w:p>
      <w:pPr>
        <w:pStyle w:val="Compact"/>
        <w:numPr>
          <w:ilvl w:val="0"/>
          <w:numId w:val="1006"/>
        </w:numPr>
      </w:pPr>
      <w:r>
        <w:rPr>
          <w:b/>
          <w:bCs/>
        </w:rPr>
        <w:t xml:space="preserve">Gross tariff costs:</w:t>
      </w:r>
      <w:r>
        <w:t xml:space="preserve"> </w:t>
      </w:r>
      <m:oMath>
        <m:r>
          <m:t>2.5</m:t>
        </m:r>
        <m:r>
          <m:rPr>
            <m:sty m:val="p"/>
          </m:rPr>
          <m:t>–</m:t>
        </m:r>
      </m:oMath>
      <w:r>
        <w:t xml:space="preserve">3.5 billion.</w:t>
      </w:r>
    </w:p>
    <w:p>
      <w:pPr>
        <w:pStyle w:val="Compact"/>
        <w:numPr>
          <w:ilvl w:val="0"/>
          <w:numId w:val="1006"/>
        </w:numPr>
      </w:pPr>
      <w:r>
        <w:rPr>
          <w:b/>
          <w:bCs/>
        </w:rPr>
        <w:t xml:space="preserve">Commodity, logistics and higher DRAM costs:</w:t>
      </w:r>
      <w:r>
        <w:t xml:space="preserve"> </w:t>
      </w:r>
      <m:oMath>
        <m:r>
          <m:t>1.5</m:t>
        </m:r>
        <m:r>
          <m:rPr>
            <m:sty m:val="p"/>
          </m:rPr>
          <m:t>–</m:t>
        </m:r>
      </m:oMath>
      <w:r>
        <w:t xml:space="preserve">2.0 billion.</w:t>
      </w:r>
    </w:p>
    <w:p>
      <w:pPr>
        <w:pStyle w:val="Compact"/>
        <w:numPr>
          <w:ilvl w:val="0"/>
          <w:numId w:val="1006"/>
        </w:numPr>
      </w:pPr>
      <w:r>
        <w:rPr>
          <w:b/>
          <w:bCs/>
        </w:rPr>
        <w:t xml:space="preserve">GM Financial adjusted EBT:</w:t>
      </w:r>
      <w:r>
        <w:t xml:space="preserve"> </w:t>
      </w:r>
      <m:oMath>
        <m:r>
          <m:t>2.5</m:t>
        </m:r>
        <m:r>
          <m:rPr>
            <m:sty m:val="p"/>
          </m:rPr>
          <m:t>–</m:t>
        </m:r>
      </m:oMath>
      <w:r>
        <w:t xml:space="preserve">3.0 billion. (</w:t>
      </w:r>
      <w:hyperlink r:id="rId18">
        <w:r>
          <w:rPr>
            <w:rStyle w:val="Hyperlink"/>
          </w:rPr>
          <w:t xml:space="preserve">investor.gm.com</w:t>
        </w:r>
      </w:hyperlink>
      <w:r>
        <w:t xml:space="preserve">)</w:t>
      </w:r>
    </w:p>
    <w:p>
      <w:pPr>
        <w:pStyle w:val="FirstParagraph"/>
      </w:pPr>
      <w:r>
        <w:t xml:space="preserve">Management’s Q1 guidance update did not incorporate much additional operating upside beyond the tariff adjustment. That leaves room for a guidance raise if Q2 execution was strong—but also makes a simple reiteration credible given the uncertainty.</w:t>
      </w:r>
    </w:p>
    <w:p>
      <w:pPr>
        <w:pStyle w:val="BodyText"/>
      </w:pPr>
      <w:r>
        <w:t xml:space="preserve">The biggest new issue is Canada. On July 20, the U.S. administration announced plans for a 50% tariff on certain Canadian goods beginning August 19, although exemptions and ultimate implementation remain uncertain. This has little relevance to reported Q2 earnings, but it could influence management’s second-half outlook because GM’s North American production and supplier network is highly integrated across the U.S., Canada and Mexico.</w:t>
      </w:r>
    </w:p>
    <w:p>
      <w:pPr>
        <w:pStyle w:val="BodyText"/>
      </w:pPr>
      <w:r>
        <w:rPr>
          <w:b/>
          <w:bCs/>
        </w:rPr>
        <w:t xml:space="preserve">What the market may accept:</w:t>
      </w:r>
      <w:r>
        <w:t xml:space="preserve"> </w:t>
      </w:r>
      <w:r>
        <w:t xml:space="preserve">unchanged guidance accompanied by a conservative new tariff contingency.</w:t>
      </w:r>
    </w:p>
    <w:p>
      <w:pPr>
        <w:pStyle w:val="BodyText"/>
      </w:pPr>
      <w:r>
        <w:rPr>
          <w:b/>
          <w:bCs/>
        </w:rPr>
        <w:t xml:space="preserve">What would disappoint:</w:t>
      </w:r>
      <w:r>
        <w:t xml:space="preserve"> </w:t>
      </w:r>
      <w:r>
        <w:t xml:space="preserve">a guidance cut driven by pricing, North American demand or warranty costs rather than external trade developments.</w:t>
      </w:r>
    </w:p>
    <w:bookmarkEnd w:id="19"/>
    <w:bookmarkStart w:id="20" w:name="Xf371a1bcd30a0cfe41a8a00609eda647ee01c96"/>
    <w:p>
      <w:pPr>
        <w:pStyle w:val="Heading2"/>
      </w:pPr>
      <w:r>
        <w:t xml:space="preserve">4. Free cash flow quality deserves close attention</w:t>
      </w:r>
    </w:p>
    <w:p>
      <w:pPr>
        <w:pStyle w:val="FirstParagraph"/>
      </w:pPr>
      <w:r>
        <w:t xml:space="preserve">GM reported $1.27 billion of adjusted automotive free cash flow in Q1, but the calculation excluded more than $2.2 billion of cash associated with the EV strategic realignment. Management said most remaining supplier-related EV restructuring payments were expected during Q2.</w:t>
      </w:r>
    </w:p>
    <w:p>
      <w:pPr>
        <w:pStyle w:val="BodyText"/>
      </w:pPr>
      <w:r>
        <w:t xml:space="preserve">Investors should therefore distinguish among:</w:t>
      </w:r>
    </w:p>
    <w:p>
      <w:pPr>
        <w:pStyle w:val="Compact"/>
        <w:numPr>
          <w:ilvl w:val="0"/>
          <w:numId w:val="1007"/>
        </w:numPr>
      </w:pPr>
      <w:r>
        <w:t xml:space="preserve">Reported automotive operating cash flow.</w:t>
      </w:r>
    </w:p>
    <w:p>
      <w:pPr>
        <w:pStyle w:val="Compact"/>
        <w:numPr>
          <w:ilvl w:val="0"/>
          <w:numId w:val="1007"/>
        </w:numPr>
      </w:pPr>
      <w:r>
        <w:t xml:space="preserve">Capital expenditures.</w:t>
      </w:r>
    </w:p>
    <w:p>
      <w:pPr>
        <w:pStyle w:val="Compact"/>
        <w:numPr>
          <w:ilvl w:val="0"/>
          <w:numId w:val="1007"/>
        </w:numPr>
      </w:pPr>
      <w:r>
        <w:t xml:space="preserve">Cash EV restructuring payments.</w:t>
      </w:r>
    </w:p>
    <w:p>
      <w:pPr>
        <w:pStyle w:val="Compact"/>
        <w:numPr>
          <w:ilvl w:val="0"/>
          <w:numId w:val="1007"/>
        </w:numPr>
      </w:pPr>
      <w:r>
        <w:t xml:space="preserve">Adjusted automotive free cash flow.</w:t>
      </w:r>
    </w:p>
    <w:p>
      <w:pPr>
        <w:pStyle w:val="Compact"/>
        <w:numPr>
          <w:ilvl w:val="0"/>
          <w:numId w:val="1007"/>
        </w:numPr>
      </w:pPr>
      <w:r>
        <w:t xml:space="preserve">GM Financial dividends to the parent.</w:t>
      </w:r>
    </w:p>
    <w:p>
      <w:pPr>
        <w:pStyle w:val="Compact"/>
        <w:numPr>
          <w:ilvl w:val="0"/>
          <w:numId w:val="1007"/>
        </w:numPr>
      </w:pPr>
      <w:r>
        <w:t xml:space="preserve">Cash deployed for share repurchases.</w:t>
      </w:r>
    </w:p>
    <w:p>
      <w:pPr>
        <w:pStyle w:val="FirstParagraph"/>
      </w:pPr>
      <w:r>
        <w:t xml:space="preserve">The annual</w:t>
      </w:r>
      <w:r>
        <w:t xml:space="preserve"> </w:t>
      </w:r>
      <m:oMath>
        <m:r>
          <m:t>9</m:t>
        </m:r>
        <m:r>
          <m:rPr>
            <m:sty m:val="p"/>
          </m:rPr>
          <m:t>–</m:t>
        </m:r>
      </m:oMath>
      <w:r>
        <w:t xml:space="preserve">11 billion adjusted free-cash-flow target is heavily weighted to the second half. Maintaining that guidance would be reassuring, but investors should examine how much of the cash burden has merely been classified as an adjustment.</w:t>
      </w:r>
    </w:p>
    <w:p>
      <w:pPr>
        <w:pStyle w:val="BodyText"/>
      </w:pPr>
      <w:r>
        <w:t xml:space="preserve">A clean quarter would show:</w:t>
      </w:r>
    </w:p>
    <w:p>
      <w:pPr>
        <w:pStyle w:val="Compact"/>
        <w:numPr>
          <w:ilvl w:val="0"/>
          <w:numId w:val="1008"/>
        </w:numPr>
      </w:pPr>
      <w:r>
        <w:t xml:space="preserve">Most legacy EV supplier claims resolved.</w:t>
      </w:r>
    </w:p>
    <w:p>
      <w:pPr>
        <w:pStyle w:val="Compact"/>
        <w:numPr>
          <w:ilvl w:val="0"/>
          <w:numId w:val="1008"/>
        </w:numPr>
      </w:pPr>
      <w:r>
        <w:t xml:space="preserve">No meaningful increase in expected restructuring cash costs.</w:t>
      </w:r>
    </w:p>
    <w:p>
      <w:pPr>
        <w:pStyle w:val="Compact"/>
        <w:numPr>
          <w:ilvl w:val="0"/>
          <w:numId w:val="1008"/>
        </w:numPr>
      </w:pPr>
      <w:r>
        <w:t xml:space="preserve">Adequate liquidity after restructuring payments.</w:t>
      </w:r>
    </w:p>
    <w:p>
      <w:pPr>
        <w:pStyle w:val="Compact"/>
        <w:numPr>
          <w:ilvl w:val="0"/>
          <w:numId w:val="1008"/>
        </w:numPr>
      </w:pPr>
      <w:r>
        <w:t xml:space="preserve">Continued buybacks without weakening the automotive cash balance.</w:t>
      </w:r>
    </w:p>
    <w:bookmarkEnd w:id="20"/>
    <w:bookmarkStart w:id="22" w:name="X587a043644b66f25b41ab0db72fc08c5bbad356"/>
    <w:p>
      <w:pPr>
        <w:pStyle w:val="Heading2"/>
      </w:pPr>
      <w:r>
        <w:t xml:space="preserve">5. China: profitability matters more than volume</w:t>
      </w:r>
    </w:p>
    <w:p>
      <w:pPr>
        <w:pStyle w:val="FirstParagraph"/>
      </w:pPr>
      <w:r>
        <w:t xml:space="preserve">GM sold more than</w:t>
      </w:r>
      <w:r>
        <w:t xml:space="preserve"> </w:t>
      </w:r>
      <w:r>
        <w:rPr>
          <w:b/>
          <w:bCs/>
        </w:rPr>
        <w:t xml:space="preserve">357,000 vehicles in China during Q2</w:t>
      </w:r>
      <w:r>
        <w:t xml:space="preserve">, compared with roughly 447,000 one year earlier. Management emphasized improved mix, newer higher-value products and growth in selected new-energy models rather than total unit volume. (</w:t>
      </w:r>
      <w:hyperlink r:id="rId21">
        <w:r>
          <w:rPr>
            <w:rStyle w:val="Hyperlink"/>
          </w:rPr>
          <w:t xml:space="preserve">investor.gm.com</w:t>
        </w:r>
      </w:hyperlink>
      <w:r>
        <w:t xml:space="preserve">)</w:t>
      </w:r>
    </w:p>
    <w:p>
      <w:pPr>
        <w:pStyle w:val="BodyText"/>
      </w:pPr>
      <w:r>
        <w:t xml:space="preserve">China had produced six consecutive profitable quarters as of Q1, aided by restructuring and inventory discipline. The Q2 test is whether GM can remain profitable despite the latest volume decline.</w:t>
      </w:r>
    </w:p>
    <w:p>
      <w:pPr>
        <w:pStyle w:val="BodyText"/>
      </w:pPr>
      <w:r>
        <w:t xml:space="preserve">Watch for:</w:t>
      </w:r>
    </w:p>
    <w:p>
      <w:pPr>
        <w:pStyle w:val="Compact"/>
        <w:numPr>
          <w:ilvl w:val="0"/>
          <w:numId w:val="1009"/>
        </w:numPr>
      </w:pPr>
      <w:r>
        <w:t xml:space="preserve">China equity income excluding restructuring gains or charges.</w:t>
      </w:r>
    </w:p>
    <w:p>
      <w:pPr>
        <w:pStyle w:val="Compact"/>
        <w:numPr>
          <w:ilvl w:val="0"/>
          <w:numId w:val="1009"/>
        </w:numPr>
      </w:pPr>
      <w:r>
        <w:t xml:space="preserve">Price competition and incentives.</w:t>
      </w:r>
    </w:p>
    <w:p>
      <w:pPr>
        <w:pStyle w:val="Compact"/>
        <w:numPr>
          <w:ilvl w:val="0"/>
          <w:numId w:val="1009"/>
        </w:numPr>
      </w:pPr>
      <w:r>
        <w:t xml:space="preserve">Mix improvement from Buick Electra, premium MPVs and Cadillac.</w:t>
      </w:r>
    </w:p>
    <w:p>
      <w:pPr>
        <w:pStyle w:val="Compact"/>
        <w:numPr>
          <w:ilvl w:val="0"/>
          <w:numId w:val="1009"/>
        </w:numPr>
      </w:pPr>
      <w:r>
        <w:t xml:space="preserve">Export opportunities using China-sourced vehicles.</w:t>
      </w:r>
    </w:p>
    <w:p>
      <w:pPr>
        <w:pStyle w:val="Compact"/>
        <w:numPr>
          <w:ilvl w:val="0"/>
          <w:numId w:val="1009"/>
        </w:numPr>
      </w:pPr>
      <w:r>
        <w:t xml:space="preserve">Any additional plant, dealer or supplier restructuring.</w:t>
      </w:r>
    </w:p>
    <w:p>
      <w:pPr>
        <w:pStyle w:val="FirstParagraph"/>
      </w:pPr>
      <w:r>
        <w:t xml:space="preserve">Continued profitability would validate GM’s decision to remain in the market. A return to losses would revive concerns that the Q1 improvement was temporary.</w:t>
      </w:r>
    </w:p>
    <w:bookmarkEnd w:id="22"/>
    <w:bookmarkStart w:id="23" w:name="Xb9fcc441ca073d0e4616bcd7b49d48bc0b13905"/>
    <w:p>
      <w:pPr>
        <w:pStyle w:val="Heading2"/>
      </w:pPr>
      <w:r>
        <w:t xml:space="preserve">6. Full-size pickup transition creates both upside and execution risk</w:t>
      </w:r>
    </w:p>
    <w:p>
      <w:pPr>
        <w:pStyle w:val="FirstParagraph"/>
      </w:pPr>
      <w:r>
        <w:t xml:space="preserve">GM is preparing to launch its next generation of full-size pickups, with production expected to begin during the second half and accelerate into 2027.</w:t>
      </w:r>
    </w:p>
    <w:p>
      <w:pPr>
        <w:pStyle w:val="BodyText"/>
      </w:pPr>
      <w:r>
        <w:t xml:space="preserve">This is central to the earnings thesis because full-size pickups are among GM’s most important profit contributors. Management previously indicated that most major tooling downtime was behind it, although the launch could still create some late-year volume disruption.</w:t>
      </w:r>
    </w:p>
    <w:p>
      <w:pPr>
        <w:pStyle w:val="BodyText"/>
      </w:pPr>
      <w:r>
        <w:t xml:space="preserve">Investors should listen for:</w:t>
      </w:r>
    </w:p>
    <w:p>
      <w:pPr>
        <w:pStyle w:val="Compact"/>
        <w:numPr>
          <w:ilvl w:val="0"/>
          <w:numId w:val="1010"/>
        </w:numPr>
      </w:pPr>
      <w:r>
        <w:t xml:space="preserve">Launch timing and initial production rates.</w:t>
      </w:r>
    </w:p>
    <w:p>
      <w:pPr>
        <w:pStyle w:val="Compact"/>
        <w:numPr>
          <w:ilvl w:val="0"/>
          <w:numId w:val="1010"/>
        </w:numPr>
      </w:pPr>
      <w:r>
        <w:t xml:space="preserve">Remaining downtime.</w:t>
      </w:r>
    </w:p>
    <w:p>
      <w:pPr>
        <w:pStyle w:val="Compact"/>
        <w:numPr>
          <w:ilvl w:val="0"/>
          <w:numId w:val="1010"/>
        </w:numPr>
      </w:pPr>
      <w:r>
        <w:t xml:space="preserve">Dealer inventory ahead of the transition.</w:t>
      </w:r>
    </w:p>
    <w:p>
      <w:pPr>
        <w:pStyle w:val="Compact"/>
        <w:numPr>
          <w:ilvl w:val="0"/>
          <w:numId w:val="1010"/>
        </w:numPr>
      </w:pPr>
      <w:r>
        <w:t xml:space="preserve">Pricing and content on the new trucks.</w:t>
      </w:r>
    </w:p>
    <w:p>
      <w:pPr>
        <w:pStyle w:val="Compact"/>
        <w:numPr>
          <w:ilvl w:val="0"/>
          <w:numId w:val="1010"/>
        </w:numPr>
      </w:pPr>
      <w:r>
        <w:t xml:space="preserve">Demand for higher-margin Denali, AT4 and heavy-duty configurations.</w:t>
      </w:r>
    </w:p>
    <w:p>
      <w:pPr>
        <w:pStyle w:val="Compact"/>
        <w:numPr>
          <w:ilvl w:val="0"/>
          <w:numId w:val="1010"/>
        </w:numPr>
      </w:pPr>
      <w:r>
        <w:t xml:space="preserve">Whether capacity expansion risks triggering more incentives.</w:t>
      </w:r>
    </w:p>
    <w:p>
      <w:pPr>
        <w:pStyle w:val="FirstParagraph"/>
      </w:pPr>
      <w:r>
        <w:t xml:space="preserve">A smooth launch can provide a 2027 earnings bridge. Delays, quality issues or aggressive discounting would materially weaken that thesis.</w:t>
      </w:r>
    </w:p>
    <w:bookmarkEnd w:id="23"/>
    <w:bookmarkStart w:id="26" w:name="X7d511d3ec4c292f97ec490deb8be22b1f69caf2"/>
    <w:p>
      <w:pPr>
        <w:pStyle w:val="Heading2"/>
      </w:pPr>
      <w:r>
        <w:t xml:space="preserve">7. Warranty and GM Financial are less visible—but important</w:t>
      </w:r>
    </w:p>
    <w:bookmarkStart w:id="24" w:name="warranty"/>
    <w:p>
      <w:pPr>
        <w:pStyle w:val="Heading3"/>
      </w:pPr>
      <w:r>
        <w:t xml:space="preserve">Warranty</w:t>
      </w:r>
    </w:p>
    <w:p>
      <w:pPr>
        <w:pStyle w:val="FirstParagraph"/>
      </w:pPr>
      <w:r>
        <w:t xml:space="preserve">GM entered 2026 expecting approximately</w:t>
      </w:r>
      <w:r>
        <w:t xml:space="preserve"> </w:t>
      </w:r>
      <w:r>
        <w:rPr>
          <w:b/>
          <w:bCs/>
        </w:rPr>
        <w:t xml:space="preserve">$1 billion of year-over-year warranty improvement</w:t>
      </w:r>
      <w:r>
        <w:t xml:space="preserve">. Q1 provided about $200 million of progress, although reserve movements contributed materially.</w:t>
      </w:r>
    </w:p>
    <w:p>
      <w:pPr>
        <w:pStyle w:val="BodyText"/>
      </w:pPr>
      <w:r>
        <w:t xml:space="preserve">The market should differentiate between:</w:t>
      </w:r>
    </w:p>
    <w:p>
      <w:pPr>
        <w:pStyle w:val="Compact"/>
        <w:numPr>
          <w:ilvl w:val="0"/>
          <w:numId w:val="1011"/>
        </w:numPr>
      </w:pPr>
      <w:r>
        <w:t xml:space="preserve">Lower actual repair frequency and severity.</w:t>
      </w:r>
    </w:p>
    <w:p>
      <w:pPr>
        <w:pStyle w:val="Compact"/>
        <w:numPr>
          <w:ilvl w:val="0"/>
          <w:numId w:val="1011"/>
        </w:numPr>
      </w:pPr>
      <w:r>
        <w:t xml:space="preserve">Lower accruals on new vehicles.</w:t>
      </w:r>
    </w:p>
    <w:p>
      <w:pPr>
        <w:pStyle w:val="Compact"/>
        <w:numPr>
          <w:ilvl w:val="0"/>
          <w:numId w:val="1011"/>
        </w:numPr>
      </w:pPr>
      <w:r>
        <w:t xml:space="preserve">Favorable reserve adjustments.</w:t>
      </w:r>
    </w:p>
    <w:p>
      <w:pPr>
        <w:pStyle w:val="FirstParagraph"/>
      </w:pPr>
      <w:r>
        <w:t xml:space="preserve">Sustainable warranty improvement is more valuable than a reserve release and would support structural margin expansion.</w:t>
      </w:r>
    </w:p>
    <w:bookmarkEnd w:id="24"/>
    <w:bookmarkStart w:id="25" w:name="gm-financial"/>
    <w:p>
      <w:pPr>
        <w:pStyle w:val="Heading3"/>
      </w:pPr>
      <w:r>
        <w:t xml:space="preserve">GM Financial</w:t>
      </w:r>
    </w:p>
    <w:p>
      <w:pPr>
        <w:pStyle w:val="FirstParagraph"/>
      </w:pPr>
      <w:r>
        <w:t xml:space="preserve">GM Financial generated about $700 million of adjusted pretax earnings in Q1 and is targeting</w:t>
      </w:r>
      <w:r>
        <w:t xml:space="preserve"> </w:t>
      </w:r>
      <m:oMath>
        <m:r>
          <m:t>2.5</m:t>
        </m:r>
        <m:r>
          <m:rPr>
            <m:sty m:val="p"/>
          </m:rPr>
          <m:t>–</m:t>
        </m:r>
      </m:oMath>
      <w:r>
        <w:t xml:space="preserve">3.0 billion for the year.</w:t>
      </w:r>
    </w:p>
    <w:p>
      <w:pPr>
        <w:pStyle w:val="BodyText"/>
      </w:pPr>
      <w:r>
        <w:t xml:space="preserve">Key risks include:</w:t>
      </w:r>
    </w:p>
    <w:p>
      <w:pPr>
        <w:pStyle w:val="Compact"/>
        <w:numPr>
          <w:ilvl w:val="0"/>
          <w:numId w:val="1012"/>
        </w:numPr>
      </w:pPr>
      <w:r>
        <w:t xml:space="preserve">Credit losses among stretched consumers.</w:t>
      </w:r>
    </w:p>
    <w:p>
      <w:pPr>
        <w:pStyle w:val="Compact"/>
        <w:numPr>
          <w:ilvl w:val="0"/>
          <w:numId w:val="1012"/>
        </w:numPr>
      </w:pPr>
      <w:r>
        <w:t xml:space="preserve">Used-vehicle values.</w:t>
      </w:r>
    </w:p>
    <w:p>
      <w:pPr>
        <w:pStyle w:val="Compact"/>
        <w:numPr>
          <w:ilvl w:val="0"/>
          <w:numId w:val="1012"/>
        </w:numPr>
      </w:pPr>
      <w:r>
        <w:t xml:space="preserve">Residual-value pressure on leased EVs.</w:t>
      </w:r>
    </w:p>
    <w:p>
      <w:pPr>
        <w:pStyle w:val="Compact"/>
        <w:numPr>
          <w:ilvl w:val="0"/>
          <w:numId w:val="1012"/>
        </w:numPr>
      </w:pPr>
      <w:r>
        <w:t xml:space="preserve">Higher depreciation expense on the EV lease portfolio.</w:t>
      </w:r>
    </w:p>
    <w:p>
      <w:pPr>
        <w:pStyle w:val="Compact"/>
        <w:numPr>
          <w:ilvl w:val="0"/>
          <w:numId w:val="1012"/>
        </w:numPr>
      </w:pPr>
      <w:r>
        <w:t xml:space="preserve">Funding costs and net interest margins.</w:t>
      </w:r>
    </w:p>
    <w:p>
      <w:pPr>
        <w:pStyle w:val="FirstParagraph"/>
      </w:pPr>
      <w:r>
        <w:t xml:space="preserve">Stable credit and residual trends would reinforce the resilience of the broader GM earnings model. Deterioration could offset automotive cost improvements.</w:t>
      </w:r>
    </w:p>
    <w:bookmarkEnd w:id="25"/>
    <w:bookmarkEnd w:id="26"/>
    <w:bookmarkStart w:id="27" w:name="X0990872c0b4bcd0e1b201a8a34a8809ef4f87a3"/>
    <w:p>
      <w:pPr>
        <w:pStyle w:val="Heading2"/>
      </w:pPr>
      <w:r>
        <w:t xml:space="preserve">8. Digital services need to progress from narrative to numbers</w:t>
      </w:r>
    </w:p>
    <w:p>
      <w:pPr>
        <w:pStyle w:val="FirstParagraph"/>
      </w:pPr>
      <w:r>
        <w:t xml:space="preserve">GM disclosed more detail on digital services in Q1:</w:t>
      </w:r>
    </w:p>
    <w:p>
      <w:pPr>
        <w:pStyle w:val="Compact"/>
        <w:numPr>
          <w:ilvl w:val="0"/>
          <w:numId w:val="1013"/>
        </w:numPr>
      </w:pPr>
      <w:r>
        <w:t xml:space="preserve">More than $750 million of recognized revenue.</w:t>
      </w:r>
    </w:p>
    <w:p>
      <w:pPr>
        <w:pStyle w:val="Compact"/>
        <w:numPr>
          <w:ilvl w:val="0"/>
          <w:numId w:val="1013"/>
        </w:numPr>
      </w:pPr>
      <w:r>
        <w:t xml:space="preserve">Over 20% year-over-year growth.</w:t>
      </w:r>
    </w:p>
    <w:p>
      <w:pPr>
        <w:pStyle w:val="Compact"/>
        <w:numPr>
          <w:ilvl w:val="0"/>
          <w:numId w:val="1013"/>
        </w:numPr>
      </w:pPr>
      <w:r>
        <w:t xml:space="preserve">A $3.1 billion full-year revenue target.</w:t>
      </w:r>
    </w:p>
    <w:p>
      <w:pPr>
        <w:pStyle w:val="Compact"/>
        <w:numPr>
          <w:ilvl w:val="0"/>
          <w:numId w:val="1013"/>
        </w:numPr>
      </w:pPr>
      <w:r>
        <w:t xml:space="preserve">A target of roughly 13 million subscribers by year-end.</w:t>
      </w:r>
    </w:p>
    <w:p>
      <w:pPr>
        <w:pStyle w:val="Compact"/>
        <w:numPr>
          <w:ilvl w:val="0"/>
          <w:numId w:val="1013"/>
        </w:numPr>
      </w:pPr>
      <w:r>
        <w:t xml:space="preserve">Approximately $5.8 billion of deferred revenue at quarter-end.</w:t>
      </w:r>
    </w:p>
    <w:p>
      <w:pPr>
        <w:pStyle w:val="Compact"/>
        <w:numPr>
          <w:ilvl w:val="0"/>
          <w:numId w:val="1013"/>
        </w:numPr>
      </w:pPr>
      <w:r>
        <w:t xml:space="preserve">Strong growth in Super Cruise subscriptions.</w:t>
      </w:r>
    </w:p>
    <w:p>
      <w:pPr>
        <w:pStyle w:val="FirstParagraph"/>
      </w:pPr>
      <w:r>
        <w:t xml:space="preserve">Investors should look for sequential updates on subscribers, revenue, deferred revenue and renewal rates. The strategic appeal is clear: digital services are recurring, high-margin and less cyclical than vehicle sales.</w:t>
      </w:r>
    </w:p>
    <w:p>
      <w:pPr>
        <w:pStyle w:val="BodyText"/>
      </w:pPr>
      <w:r>
        <w:t xml:space="preserve">The risk is that GM highlights subscriber counts without showing how much incremental EBIT the business actually contributes. Better segment economics or margin disclosure would be a positive catalyst.</w:t>
      </w:r>
    </w:p>
    <w:bookmarkEnd w:id="27"/>
    <w:bookmarkStart w:id="28" w:name="stock-setup"/>
    <w:p>
      <w:pPr>
        <w:pStyle w:val="Heading2"/>
      </w:pPr>
      <w:r>
        <w:t xml:space="preserve">Stock setup</w:t>
      </w:r>
    </w:p>
    <w:p>
      <w:pPr>
        <w:pStyle w:val="FirstParagraph"/>
      </w:pPr>
      <w:r>
        <w:t xml:space="preserve">GM closed July 20 at approximately</w:t>
      </w:r>
      <w:r>
        <w:t xml:space="preserve"> </w:t>
      </w:r>
      <w:r>
        <w:rPr>
          <w:b/>
          <w:bCs/>
        </w:rPr>
        <w:t xml:space="preserve">$75.82</w:t>
      </w:r>
      <w:r>
        <w:t xml:space="preserve">, down about 6% from the start of 2026 while the broader market had risen. Its market capitalization was roughly $70 billion.</w:t>
      </w:r>
    </w:p>
    <w:p>
      <w:pPr>
        <w:pStyle w:val="BodyText"/>
      </w:pPr>
      <w:r>
        <w:t xml:space="preserve">At the midpoint of GM’s adjusted EPS guidance—$12.50—the stock trades at roughly</w:t>
      </w:r>
      <w:r>
        <w:t xml:space="preserve"> </w:t>
      </w:r>
      <w:r>
        <w:rPr>
          <w:b/>
          <w:bCs/>
        </w:rPr>
        <w:t xml:space="preserve">6.1 times</w:t>
      </w:r>
      <w:r>
        <w:t xml:space="preserve"> </w:t>
      </w:r>
      <w:r>
        <w:t xml:space="preserve">earnings. Its market capitalization is also about seven times the midpoint of adjusted automotive free-cash-flow guidance.</w:t>
      </w:r>
    </w:p>
    <w:p>
      <w:pPr>
        <w:pStyle w:val="BodyText"/>
      </w:pPr>
      <w:r>
        <w:t xml:space="preserve">That valuation is inexpensive, but the discount reflects legitimate concerns:</w:t>
      </w:r>
    </w:p>
    <w:p>
      <w:pPr>
        <w:pStyle w:val="Compact"/>
        <w:numPr>
          <w:ilvl w:val="0"/>
          <w:numId w:val="1014"/>
        </w:numPr>
      </w:pPr>
      <w:r>
        <w:t xml:space="preserve">Cyclical peak earnings.</w:t>
      </w:r>
    </w:p>
    <w:p>
      <w:pPr>
        <w:pStyle w:val="Compact"/>
        <w:numPr>
          <w:ilvl w:val="0"/>
          <w:numId w:val="1014"/>
        </w:numPr>
      </w:pPr>
      <w:r>
        <w:t xml:space="preserve">Tariff exposure.</w:t>
      </w:r>
    </w:p>
    <w:p>
      <w:pPr>
        <w:pStyle w:val="Compact"/>
        <w:numPr>
          <w:ilvl w:val="0"/>
          <w:numId w:val="1014"/>
        </w:numPr>
      </w:pPr>
      <w:r>
        <w:t xml:space="preserve">Dependence on North American trucks and SUVs.</w:t>
      </w:r>
    </w:p>
    <w:p>
      <w:pPr>
        <w:pStyle w:val="Compact"/>
        <w:numPr>
          <w:ilvl w:val="0"/>
          <w:numId w:val="1014"/>
        </w:numPr>
      </w:pPr>
      <w:r>
        <w:t xml:space="preserve">EV restructuring and uncertain long-term competitiveness.</w:t>
      </w:r>
    </w:p>
    <w:p>
      <w:pPr>
        <w:pStyle w:val="Compact"/>
        <w:numPr>
          <w:ilvl w:val="0"/>
          <w:numId w:val="1014"/>
        </w:numPr>
      </w:pPr>
      <w:r>
        <w:t xml:space="preserve">China risk.</w:t>
      </w:r>
    </w:p>
    <w:p>
      <w:pPr>
        <w:pStyle w:val="Compact"/>
        <w:numPr>
          <w:ilvl w:val="0"/>
          <w:numId w:val="1014"/>
        </w:numPr>
      </w:pPr>
      <w:r>
        <w:t xml:space="preserve">The gap between adjusted and reported cash flow.</w:t>
      </w:r>
    </w:p>
    <w:p>
      <w:pPr>
        <w:pStyle w:val="Compact"/>
        <w:numPr>
          <w:ilvl w:val="0"/>
          <w:numId w:val="1014"/>
        </w:numPr>
      </w:pPr>
      <w:r>
        <w:t xml:space="preserve">Potentially rising incentives if industry demand softens.</w:t>
      </w:r>
    </w:p>
    <w:p>
      <w:pPr>
        <w:pStyle w:val="FirstParagraph"/>
      </w:pPr>
      <w:r>
        <w:t xml:space="preserve">The stock probably needs more than an EPS beat to re-rate. It needs evidence that</w:t>
      </w:r>
      <w:r>
        <w:t xml:space="preserve"> </w:t>
      </w:r>
      <w:r>
        <w:rPr>
          <w:b/>
          <w:bCs/>
        </w:rPr>
        <w:t xml:space="preserve">$12-plus of annual adjusted EPS and approximately $10 billion of free cash flow are durable rather than cyclical highs</w:t>
      </w:r>
      <w:r>
        <w:t xml:space="preserve">.</w:t>
      </w:r>
    </w:p>
    <w:bookmarkEnd w:id="28"/>
    <w:bookmarkStart w:id="32" w:name="bull-base-and-bear-cases"/>
    <w:p>
      <w:pPr>
        <w:pStyle w:val="Heading2"/>
      </w:pPr>
      <w:r>
        <w:t xml:space="preserve">Bull, base and bear cases</w:t>
      </w:r>
    </w:p>
    <w:bookmarkStart w:id="29" w:name="bull-case"/>
    <w:p>
      <w:pPr>
        <w:pStyle w:val="Heading3"/>
      </w:pPr>
      <w:r>
        <w:t xml:space="preserve">Bull case</w:t>
      </w:r>
    </w:p>
    <w:p>
      <w:pPr>
        <w:pStyle w:val="Compact"/>
        <w:numPr>
          <w:ilvl w:val="0"/>
          <w:numId w:val="1015"/>
        </w:numPr>
      </w:pPr>
      <w:r>
        <w:t xml:space="preserve">Adjusted EPS clearly exceeds consensus.</w:t>
      </w:r>
    </w:p>
    <w:p>
      <w:pPr>
        <w:pStyle w:val="Compact"/>
        <w:numPr>
          <w:ilvl w:val="0"/>
          <w:numId w:val="1015"/>
        </w:numPr>
      </w:pPr>
      <w:r>
        <w:t xml:space="preserve">North American margin is 9% or better.</w:t>
      </w:r>
    </w:p>
    <w:p>
      <w:pPr>
        <w:pStyle w:val="Compact"/>
        <w:numPr>
          <w:ilvl w:val="0"/>
          <w:numId w:val="1015"/>
        </w:numPr>
      </w:pPr>
      <w:r>
        <w:t xml:space="preserve">Full-year EBIT and free-cash-flow guidance are raised or management points to the upper half.</w:t>
      </w:r>
    </w:p>
    <w:p>
      <w:pPr>
        <w:pStyle w:val="Compact"/>
        <w:numPr>
          <w:ilvl w:val="0"/>
          <w:numId w:val="1015"/>
        </w:numPr>
      </w:pPr>
      <w:r>
        <w:t xml:space="preserve">EV losses improve faster than planned without new charges.</w:t>
      </w:r>
    </w:p>
    <w:p>
      <w:pPr>
        <w:pStyle w:val="Compact"/>
        <w:numPr>
          <w:ilvl w:val="0"/>
          <w:numId w:val="1015"/>
        </w:numPr>
      </w:pPr>
      <w:r>
        <w:t xml:space="preserve">Warranty savings are operational rather than reserve-driven.</w:t>
      </w:r>
    </w:p>
    <w:p>
      <w:pPr>
        <w:pStyle w:val="Compact"/>
        <w:numPr>
          <w:ilvl w:val="0"/>
          <w:numId w:val="1015"/>
        </w:numPr>
      </w:pPr>
      <w:r>
        <w:t xml:space="preserve">China remains profitable.</w:t>
      </w:r>
    </w:p>
    <w:p>
      <w:pPr>
        <w:pStyle w:val="Compact"/>
        <w:numPr>
          <w:ilvl w:val="0"/>
          <w:numId w:val="1015"/>
        </w:numPr>
      </w:pPr>
      <w:r>
        <w:t xml:space="preserve">Pickup launch remains on schedule.</w:t>
      </w:r>
    </w:p>
    <w:p>
      <w:pPr>
        <w:pStyle w:val="Compact"/>
        <w:numPr>
          <w:ilvl w:val="0"/>
          <w:numId w:val="1015"/>
        </w:numPr>
      </w:pPr>
      <w:r>
        <w:t xml:space="preserve">Buybacks continue at an aggressive pace.</w:t>
      </w:r>
    </w:p>
    <w:bookmarkEnd w:id="29"/>
    <w:bookmarkStart w:id="30" w:name="base-case"/>
    <w:p>
      <w:pPr>
        <w:pStyle w:val="Heading3"/>
      </w:pPr>
      <w:r>
        <w:t xml:space="preserve">Base case</w:t>
      </w:r>
    </w:p>
    <w:p>
      <w:pPr>
        <w:pStyle w:val="Compact"/>
        <w:numPr>
          <w:ilvl w:val="0"/>
          <w:numId w:val="1016"/>
        </w:numPr>
      </w:pPr>
      <w:r>
        <w:t xml:space="preserve">EPS modestly beats consensus.</w:t>
      </w:r>
    </w:p>
    <w:p>
      <w:pPr>
        <w:pStyle w:val="Compact"/>
        <w:numPr>
          <w:ilvl w:val="0"/>
          <w:numId w:val="1016"/>
        </w:numPr>
      </w:pPr>
      <w:r>
        <w:t xml:space="preserve">Revenue is roughly in line.</w:t>
      </w:r>
    </w:p>
    <w:p>
      <w:pPr>
        <w:pStyle w:val="Compact"/>
        <w:numPr>
          <w:ilvl w:val="0"/>
          <w:numId w:val="1016"/>
        </w:numPr>
      </w:pPr>
      <w:r>
        <w:t xml:space="preserve">North American margin remains within the 8%–10% target range.</w:t>
      </w:r>
    </w:p>
    <w:p>
      <w:pPr>
        <w:pStyle w:val="Compact"/>
        <w:numPr>
          <w:ilvl w:val="0"/>
          <w:numId w:val="1016"/>
        </w:numPr>
      </w:pPr>
      <w:r>
        <w:t xml:space="preserve">Full-year guidance is reiterated.</w:t>
      </w:r>
    </w:p>
    <w:p>
      <w:pPr>
        <w:pStyle w:val="Compact"/>
        <w:numPr>
          <w:ilvl w:val="0"/>
          <w:numId w:val="1016"/>
        </w:numPr>
      </w:pPr>
      <w:r>
        <w:t xml:space="preserve">Lower EV losses and warranty savings offset volume and commodity pressure.</w:t>
      </w:r>
    </w:p>
    <w:p>
      <w:pPr>
        <w:pStyle w:val="Compact"/>
        <w:numPr>
          <w:ilvl w:val="0"/>
          <w:numId w:val="1016"/>
        </w:numPr>
      </w:pPr>
      <w:r>
        <w:t xml:space="preserve">Management remains cautious because of tariffs, oil and Middle East uncertainty.</w:t>
      </w:r>
    </w:p>
    <w:bookmarkEnd w:id="30"/>
    <w:bookmarkStart w:id="31" w:name="bear-case"/>
    <w:p>
      <w:pPr>
        <w:pStyle w:val="Heading3"/>
      </w:pPr>
      <w:r>
        <w:t xml:space="preserve">Bear case</w:t>
      </w:r>
    </w:p>
    <w:p>
      <w:pPr>
        <w:pStyle w:val="Compact"/>
        <w:numPr>
          <w:ilvl w:val="0"/>
          <w:numId w:val="1017"/>
        </w:numPr>
      </w:pPr>
      <w:r>
        <w:t xml:space="preserve">North American margin falls below 8%.</w:t>
      </w:r>
    </w:p>
    <w:p>
      <w:pPr>
        <w:pStyle w:val="Compact"/>
        <w:numPr>
          <w:ilvl w:val="0"/>
          <w:numId w:val="1017"/>
        </w:numPr>
      </w:pPr>
      <w:r>
        <w:t xml:space="preserve">Pricing weakens or incentives rise materially.</w:t>
      </w:r>
    </w:p>
    <w:p>
      <w:pPr>
        <w:pStyle w:val="Compact"/>
        <w:numPr>
          <w:ilvl w:val="0"/>
          <w:numId w:val="1017"/>
        </w:numPr>
      </w:pPr>
      <w:r>
        <w:t xml:space="preserve">Full-year guidance is reduced.</w:t>
      </w:r>
    </w:p>
    <w:p>
      <w:pPr>
        <w:pStyle w:val="Compact"/>
        <w:numPr>
          <w:ilvl w:val="0"/>
          <w:numId w:val="1017"/>
        </w:numPr>
      </w:pPr>
      <w:r>
        <w:t xml:space="preserve">EV restructuring charges or cash requirements increase again.</w:t>
      </w:r>
    </w:p>
    <w:p>
      <w:pPr>
        <w:pStyle w:val="Compact"/>
        <w:numPr>
          <w:ilvl w:val="0"/>
          <w:numId w:val="1017"/>
        </w:numPr>
      </w:pPr>
      <w:r>
        <w:t xml:space="preserve">China returns to a loss.</w:t>
      </w:r>
    </w:p>
    <w:p>
      <w:pPr>
        <w:pStyle w:val="Compact"/>
        <w:numPr>
          <w:ilvl w:val="0"/>
          <w:numId w:val="1017"/>
        </w:numPr>
      </w:pPr>
      <w:r>
        <w:t xml:space="preserve">GM Financial signals worsening credit or EV residual values.</w:t>
      </w:r>
    </w:p>
    <w:p>
      <w:pPr>
        <w:pStyle w:val="Compact"/>
        <w:numPr>
          <w:ilvl w:val="0"/>
          <w:numId w:val="1017"/>
        </w:numPr>
      </w:pPr>
      <w:r>
        <w:t xml:space="preserve">The new pickup launch encounters timing or quality problems.</w:t>
      </w:r>
    </w:p>
    <w:bookmarkEnd w:id="31"/>
    <w:bookmarkEnd w:id="32"/>
    <w:bookmarkStart w:id="33" w:name="bottom-line"/>
    <w:p>
      <w:pPr>
        <w:pStyle w:val="Heading2"/>
      </w:pPr>
      <w:r>
        <w:t xml:space="preserve">Bottom line</w:t>
      </w:r>
    </w:p>
    <w:p>
      <w:pPr>
        <w:pStyle w:val="FirstParagraph"/>
      </w:pPr>
      <w:r>
        <w:t xml:space="preserve">GM enters Q2 earnings with a low valuation, strong Q1 execution and several company-controlled profit levers. But the quarter’s sales data were weaker than the earnings narrative: total U.S. volume fell, EV deliveries contracted sharply and China sales declined materially.</w:t>
      </w:r>
    </w:p>
    <w:p>
      <w:pPr>
        <w:pStyle w:val="BodyText"/>
      </w:pPr>
      <w:r>
        <w:t xml:space="preserve">The most important signals will be:</w:t>
      </w:r>
    </w:p>
    <w:p>
      <w:pPr>
        <w:pStyle w:val="Compact"/>
        <w:numPr>
          <w:ilvl w:val="0"/>
          <w:numId w:val="1018"/>
        </w:numPr>
      </w:pPr>
      <w:r>
        <w:rPr>
          <w:b/>
          <w:bCs/>
        </w:rPr>
        <w:t xml:space="preserve">North American margin excluding accounting benefits.</w:t>
      </w:r>
    </w:p>
    <w:p>
      <w:pPr>
        <w:pStyle w:val="Compact"/>
        <w:numPr>
          <w:ilvl w:val="0"/>
          <w:numId w:val="1018"/>
        </w:numPr>
      </w:pPr>
      <w:r>
        <w:rPr>
          <w:b/>
          <w:bCs/>
        </w:rPr>
        <w:t xml:space="preserve">The durability of full-year EBIT and free-cash-flow guidance.</w:t>
      </w:r>
    </w:p>
    <w:p>
      <w:pPr>
        <w:pStyle w:val="Compact"/>
        <w:numPr>
          <w:ilvl w:val="0"/>
          <w:numId w:val="1018"/>
        </w:numPr>
      </w:pPr>
      <w:r>
        <w:rPr>
          <w:b/>
          <w:bCs/>
        </w:rPr>
        <w:t xml:space="preserve">How much EV profitability improved—and why.</w:t>
      </w:r>
    </w:p>
    <w:p>
      <w:pPr>
        <w:pStyle w:val="Compact"/>
        <w:numPr>
          <w:ilvl w:val="0"/>
          <w:numId w:val="1018"/>
        </w:numPr>
      </w:pPr>
      <w:r>
        <w:rPr>
          <w:b/>
          <w:bCs/>
        </w:rPr>
        <w:t xml:space="preserve">Whether restructuring cash costs are now substantially behind GM.</w:t>
      </w:r>
    </w:p>
    <w:p>
      <w:pPr>
        <w:pStyle w:val="Compact"/>
        <w:numPr>
          <w:ilvl w:val="0"/>
          <w:numId w:val="1018"/>
        </w:numPr>
      </w:pPr>
      <w:r>
        <w:rPr>
          <w:b/>
          <w:bCs/>
        </w:rPr>
        <w:t xml:space="preserve">Pricing and incentive discipline.</w:t>
      </w:r>
    </w:p>
    <w:p>
      <w:pPr>
        <w:pStyle w:val="Compact"/>
        <w:numPr>
          <w:ilvl w:val="0"/>
          <w:numId w:val="1018"/>
        </w:numPr>
      </w:pPr>
      <w:r>
        <w:rPr>
          <w:b/>
          <w:bCs/>
        </w:rPr>
        <w:t xml:space="preserve">The status of the full-size pickup launch.</w:t>
      </w:r>
    </w:p>
    <w:p>
      <w:pPr>
        <w:pStyle w:val="Compact"/>
        <w:numPr>
          <w:ilvl w:val="0"/>
          <w:numId w:val="1018"/>
        </w:numPr>
      </w:pPr>
      <w:r>
        <w:rPr>
          <w:b/>
          <w:bCs/>
        </w:rPr>
        <w:t xml:space="preserve">Management’s response to new North American trade risks.</w:t>
      </w:r>
    </w:p>
    <w:p>
      <w:pPr>
        <w:pStyle w:val="FirstParagraph"/>
      </w:pPr>
      <w:r>
        <w:t xml:space="preserve">A routine EPS beat with unchanged guidance would be respectable. A genuinely bullish report would show that GM can sustain high-single-digit North American margins and substantial free cash flow despite lower industry volumes and a difficult policy backdrop.</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generalmotorscompany.gcs-web.com/news-releases/news-release-details/gm-announces-second-quarter-2026-earnings-conference-call" TargetMode="External" /><Relationship Type="http://schemas.openxmlformats.org/officeDocument/2006/relationships/hyperlink" Id="rId21" Target="https://investor.gm.com/news-releases/news-release-details/gm-china-q2-sales-business-momentum-continues" TargetMode="External" /><Relationship Type="http://schemas.openxmlformats.org/officeDocument/2006/relationships/hyperlink" Id="rId10" Target="https://investor.gm.com/news-releases/news-release-details/q1-2026-letter-shareholders/?utm_source=openai" TargetMode="External" /><Relationship Type="http://schemas.openxmlformats.org/officeDocument/2006/relationships/hyperlink" Id="rId16" Target="https://investor.gm.com/static-files/3cd8e3e3-2da9-452e-9062-b0321ed256d0?utm_source=openai" TargetMode="External" /><Relationship Type="http://schemas.openxmlformats.org/officeDocument/2006/relationships/hyperlink" Id="rId18" Target="https://investor.gm.com/static-files/ad646529-cae6-43b3-9502-848ba44f8ea9?utm_source=openai" TargetMode="External" /><Relationship Type="http://schemas.openxmlformats.org/officeDocument/2006/relationships/hyperlink" Id="rId14" Target="https://news.gm.com/home.detail.html/Pages/news/us/en/2026/jul/0701-gmsales.html" TargetMode="External" /><Relationship Type="http://schemas.openxmlformats.org/officeDocument/2006/relationships/hyperlink" Id="rId12" Target="https://www.zacks.com/stock/news/2955640/general-motors-to-report-q2-earnings-whats-in-the-card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generalmotorscompany.gcs-web.com/news-releases/news-release-details/gm-announces-second-quarter-2026-earnings-conference-call" TargetMode="External" /><Relationship Type="http://schemas.openxmlformats.org/officeDocument/2006/relationships/hyperlink" Id="rId21" Target="https://investor.gm.com/news-releases/news-release-details/gm-china-q2-sales-business-momentum-continues" TargetMode="External" /><Relationship Type="http://schemas.openxmlformats.org/officeDocument/2006/relationships/hyperlink" Id="rId10" Target="https://investor.gm.com/news-releases/news-release-details/q1-2026-letter-shareholders/?utm_source=openai" TargetMode="External" /><Relationship Type="http://schemas.openxmlformats.org/officeDocument/2006/relationships/hyperlink" Id="rId16" Target="https://investor.gm.com/static-files/3cd8e3e3-2da9-452e-9062-b0321ed256d0?utm_source=openai" TargetMode="External" /><Relationship Type="http://schemas.openxmlformats.org/officeDocument/2006/relationships/hyperlink" Id="rId18" Target="https://investor.gm.com/static-files/ad646529-cae6-43b3-9502-848ba44f8ea9?utm_source=openai" TargetMode="External" /><Relationship Type="http://schemas.openxmlformats.org/officeDocument/2006/relationships/hyperlink" Id="rId14" Target="https://news.gm.com/home.detail.html/Pages/news/us/en/2026/jul/0701-gmsales.html" TargetMode="External" /><Relationship Type="http://schemas.openxmlformats.org/officeDocument/2006/relationships/hyperlink" Id="rId12" Target="https://www.zacks.com/stock/news/2955640/general-motors-to-report-q2-earnings-whats-in-the-card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2026-07-21T00:19:59Z</dcterms:created>
  <dcterms:modified xsi:type="dcterms:W3CDTF">2026-07-21T00:19:59Z</dcterms:modified>
</cp:coreProperties>
</file>

<file path=docProps/custom.xml><?xml version="1.0" encoding="utf-8"?>
<Properties xmlns="http://schemas.openxmlformats.org/officeDocument/2006/custom-properties" xmlns:vt="http://schemas.openxmlformats.org/officeDocument/2006/docPropsVTypes"/>
</file>