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gm-2q26-earnings-preview"/>
    <w:p>
      <w:pPr>
        <w:pStyle w:val="Heading1"/>
      </w:pPr>
      <w:r>
        <w:t xml:space="preserve">GM 2Q26 Earnings Preview</w:t>
      </w:r>
    </w:p>
    <w:p>
      <w:pPr>
        <w:pStyle w:val="BlockText"/>
      </w:pPr>
      <w:r>
        <w:rPr>
          <w:b/>
          <w:bCs/>
        </w:rPr>
        <w:t xml:space="preserve">Date clarification:</w:t>
      </w:r>
      <w:r>
        <w:t xml:space="preserve"> </w:t>
      </w:r>
      <w:r>
        <w:t xml:space="preserve">GM is scheduled to report</w:t>
      </w:r>
      <w:r>
        <w:t xml:space="preserve"> </w:t>
      </w:r>
      <w:r>
        <w:rPr>
          <w:b/>
          <w:bCs/>
        </w:rPr>
        <w:t xml:space="preserve">2Q26 results before the U.S. market opens on Tuesday, July 21, 2026</w:t>
      </w:r>
      <w:r>
        <w:t xml:space="preserve">, with its earnings call at</w:t>
      </w:r>
      <w:r>
        <w:t xml:space="preserve"> </w:t>
      </w:r>
      <w:r>
        <w:rPr>
          <w:b/>
          <w:bCs/>
        </w:rPr>
        <w:t xml:space="preserve">8:30 a.m. ET</w:t>
      </w:r>
      <w:r>
        <w:t xml:space="preserve">—so, based on today’s date, the report is</w:t>
      </w:r>
      <w:r>
        <w:t xml:space="preserve"> </w:t>
      </w:r>
      <w:r>
        <w:rPr>
          <w:b/>
          <w:bCs/>
        </w:rPr>
        <w:t xml:space="preserve">today rather than tomorrow</w:t>
      </w:r>
      <w:r>
        <w:t xml:space="preserve">.</w:t>
      </w:r>
    </w:p>
    <w:bookmarkStart w:id="9" w:name="bottom-line"/>
    <w:p>
      <w:pPr>
        <w:pStyle w:val="Heading2"/>
      </w:pPr>
      <w:r>
        <w:t xml:space="preserve">Bottom line</w:t>
      </w:r>
    </w:p>
    <w:p>
      <w:pPr>
        <w:pStyle w:val="FirstParagraph"/>
      </w:pPr>
      <w:r>
        <w:t xml:space="preserve">GM enters 2Q earnings with a favorable setup in its core North American business—lean dealer inventories, improving availability of key trucks and SUVs, disciplined incentives, and an intact full-year earnings and free-cash-flow outlook. The central question is not whether GM can post a solid quarter; it is whether management can demonstrate that the first-quarter strength is repeatable</w:t>
      </w:r>
      <w:r>
        <w:t xml:space="preserve"> </w:t>
      </w:r>
      <w:r>
        <w:rPr>
          <w:b/>
          <w:bCs/>
        </w:rPr>
        <w:t xml:space="preserve">without leaning on one-time tariff-accounting benefits</w:t>
      </w:r>
      <w:r>
        <w:t xml:space="preserve">, while containing the growing burdens from tariffs, commodity/freight inflation, EV restructuring cash payments, and geopolitical disruption.</w:t>
      </w:r>
    </w:p>
    <w:p>
      <w:pPr>
        <w:pStyle w:val="BodyText"/>
      </w:pPr>
      <w:r>
        <w:t xml:space="preserve">The report is likely to be judged primarily on three items:</w:t>
      </w:r>
    </w:p>
    <w:p>
      <w:pPr>
        <w:pStyle w:val="Compact"/>
        <w:numPr>
          <w:ilvl w:val="0"/>
          <w:numId w:val="1001"/>
        </w:numPr>
      </w:pPr>
      <w:r>
        <w:rPr>
          <w:b/>
          <w:bCs/>
        </w:rPr>
        <w:t xml:space="preserve">Full-year 2026 guidance:</w:t>
      </w:r>
      <w:r>
        <w:t xml:space="preserve"> </w:t>
      </w:r>
      <w:r>
        <w:t xml:space="preserve">Is the</w:t>
      </w:r>
      <w:r>
        <w:t xml:space="preserve"> </w:t>
      </w:r>
      <m:oMath>
        <m:r>
          <m:t>13.5</m:t>
        </m:r>
        <m:r>
          <m:rPr>
            <m:sty m:val="p"/>
          </m:rPr>
          <m:t>–</m:t>
        </m:r>
      </m:oMath>
      <w:r>
        <w:t xml:space="preserve">15.5 billion EBIT-adjusted range maintained, raised, or de-risked?</w:t>
      </w:r>
    </w:p>
    <w:p>
      <w:pPr>
        <w:pStyle w:val="Compact"/>
        <w:numPr>
          <w:ilvl w:val="0"/>
          <w:numId w:val="1001"/>
        </w:numPr>
      </w:pPr>
      <w:r>
        <w:rPr>
          <w:b/>
          <w:bCs/>
        </w:rPr>
        <w:t xml:space="preserve">GM North America margin durability:</w:t>
      </w:r>
      <w:r>
        <w:t xml:space="preserve"> </w:t>
      </w:r>
      <w:r>
        <w:t xml:space="preserve">Can GM sustain its targeted</w:t>
      </w:r>
      <w:r>
        <w:t xml:space="preserve"> </w:t>
      </w:r>
      <w:r>
        <w:rPr>
          <w:b/>
          <w:bCs/>
        </w:rPr>
        <w:t xml:space="preserve">8%–10%</w:t>
      </w:r>
      <w:r>
        <w:t xml:space="preserve"> </w:t>
      </w:r>
      <w:r>
        <w:t xml:space="preserve">full-year GMNA margin on a more normalized basis?</w:t>
      </w:r>
    </w:p>
    <w:p>
      <w:pPr>
        <w:pStyle w:val="Compact"/>
        <w:numPr>
          <w:ilvl w:val="0"/>
          <w:numId w:val="1001"/>
        </w:numPr>
      </w:pPr>
      <w:r>
        <w:rPr>
          <w:b/>
          <w:bCs/>
        </w:rPr>
        <w:t xml:space="preserve">Cash conversion:</w:t>
      </w:r>
      <w:r>
        <w:t xml:space="preserve"> </w:t>
      </w:r>
      <w:r>
        <w:t xml:space="preserve">Does adjusted automotive free cash flow remain on track for</w:t>
      </w:r>
      <w:r>
        <w:t xml:space="preserve"> </w:t>
      </w:r>
      <m:oMath>
        <m:r>
          <m:t>9</m:t>
        </m:r>
        <m:r>
          <m:rPr>
            <m:sty m:val="p"/>
          </m:rPr>
          <m:t>–</m:t>
        </m:r>
      </m:oMath>
      <w:r>
        <w:rPr>
          <w:b/>
          <w:bCs/>
        </w:rPr>
        <w:t xml:space="preserve">11 billion</w:t>
      </w:r>
      <w:r>
        <w:t xml:space="preserve">, despite significant EV-related cash outlays?</w:t>
      </w:r>
    </w:p>
    <w:p>
      <w:pPr>
        <w:pStyle w:val="FirstParagraph"/>
      </w:pPr>
      <w:r>
        <w:t xml:space="preserve">GM shares closed at</w:t>
      </w:r>
      <w:r>
        <w:t xml:space="preserve"> </w:t>
      </w:r>
      <w:r>
        <w:rPr>
          <w:b/>
          <w:bCs/>
        </w:rPr>
        <w:t xml:space="preserve">$75.82 on July 20</w:t>
      </w:r>
      <w:r>
        <w:t xml:space="preserve">, roughly</w:t>
      </w:r>
      <w:r>
        <w:t xml:space="preserve"> </w:t>
      </w:r>
      <w:r>
        <w:rPr>
          <w:b/>
          <w:bCs/>
        </w:rPr>
        <w:t xml:space="preserve">6.4% below</w:t>
      </w:r>
      <w:r>
        <w:t xml:space="preserve"> </w:t>
      </w:r>
      <w:r>
        <w:t xml:space="preserve">their January 2 close and about</w:t>
      </w:r>
      <w:r>
        <w:t xml:space="preserve"> </w:t>
      </w:r>
      <w:r>
        <w:rPr>
          <w:b/>
          <w:bCs/>
        </w:rPr>
        <w:t xml:space="preserve">12.2% below</w:t>
      </w:r>
      <w:r>
        <w:t xml:space="preserve"> </w:t>
      </w:r>
      <w:r>
        <w:t xml:space="preserve">their late-January high. At that price, the stock trades at roughly</w:t>
      </w:r>
      <w:r>
        <w:t xml:space="preserve"> </w:t>
      </w:r>
      <w:r>
        <w:rPr>
          <w:b/>
          <w:bCs/>
        </w:rPr>
        <w:t xml:space="preserve">5.6x–6.6x</w:t>
      </w:r>
      <w:r>
        <w:t xml:space="preserve"> </w:t>
      </w:r>
      <w:r>
        <w:t xml:space="preserve">the company’s adjusted-EPS guidance range of</w:t>
      </w:r>
      <w:r>
        <w:t xml:space="preserve"> </w:t>
      </w:r>
      <m:oMath>
        <m:r>
          <m:t>11.50</m:t>
        </m:r>
        <m:r>
          <m:rPr>
            <m:sty m:val="p"/>
          </m:rPr>
          <m:t>–</m:t>
        </m:r>
      </m:oMath>
      <w:r>
        <w:t xml:space="preserve">13.50—leaving substantial upside if GM can protect earnings and cash flow, but also signaling investor skepticism around the durability of auto-cycle profits.</w:t>
      </w:r>
    </w:p>
    <w:p>
      <w:r>
        <w:pict>
          <v:rect style="width:0;height:1.5pt" o:hralign="center" o:hrstd="t" o:hr="t"/>
        </w:pict>
      </w:r>
    </w:p>
    <w:bookmarkEnd w:id="9"/>
    <w:bookmarkStart w:id="13" w:name="what-gm-has-to-prove"/>
    <w:p>
      <w:pPr>
        <w:pStyle w:val="Heading2"/>
      </w:pPr>
      <w:r>
        <w:t xml:space="preserve">What GM has to prove</w:t>
      </w:r>
    </w:p>
    <w:bookmarkStart w:id="10" w:name="Xd68970b5c234a089f7a932a85313ce35adfbd19"/>
    <w:p>
      <w:pPr>
        <w:pStyle w:val="Heading3"/>
      </w:pPr>
      <w:r>
        <w:t xml:space="preserve">1. North American profit is holding up beyond the Q1 accounting tailwind</w:t>
      </w:r>
    </w:p>
    <w:p>
      <w:pPr>
        <w:pStyle w:val="FirstParagraph"/>
      </w:pPr>
      <w:r>
        <w:t xml:space="preserve">GM’s first quarter was strong on the surface: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w:t>
            </w:r>
          </w:p>
        </w:tc>
        <w:tc>
          <w:tcPr/>
          <w:p>
            <w:pPr>
              <w:pStyle w:val="Compact"/>
              <w:jc w:val="right"/>
            </w:pPr>
            <w:r>
              <w:t xml:space="preserve">YoY change</w:t>
            </w:r>
          </w:p>
        </w:tc>
      </w:tr>
      <w:tr>
        <w:tc>
          <w:tcPr/>
          <w:p>
            <w:pPr>
              <w:pStyle w:val="Compact"/>
            </w:pPr>
            <w:r>
              <w:t xml:space="preserve">Revenue</w:t>
            </w:r>
          </w:p>
        </w:tc>
        <w:tc>
          <w:tcPr/>
          <w:p>
            <w:pPr>
              <w:pStyle w:val="Compact"/>
              <w:jc w:val="right"/>
            </w:pPr>
            <w:r>
              <w:t xml:space="preserve">$43.6B</w:t>
            </w:r>
          </w:p>
        </w:tc>
        <w:tc>
          <w:tcPr/>
          <w:p>
            <w:pPr>
              <w:pStyle w:val="Compact"/>
              <w:jc w:val="right"/>
            </w:pPr>
            <w:r>
              <w:t xml:space="preserve">-0.9%</w:t>
            </w:r>
          </w:p>
        </w:tc>
      </w:tr>
      <w:tr>
        <w:tc>
          <w:tcPr/>
          <w:p>
            <w:pPr>
              <w:pStyle w:val="Compact"/>
            </w:pPr>
            <w:r>
              <w:t xml:space="preserve">EBIT-adjusted</w:t>
            </w:r>
          </w:p>
        </w:tc>
        <w:tc>
          <w:tcPr/>
          <w:p>
            <w:pPr>
              <w:pStyle w:val="Compact"/>
              <w:jc w:val="right"/>
            </w:pPr>
            <w:r>
              <w:t xml:space="preserve">$4.25B</w:t>
            </w:r>
          </w:p>
        </w:tc>
        <w:tc>
          <w:tcPr/>
          <w:p>
            <w:pPr>
              <w:pStyle w:val="Compact"/>
              <w:jc w:val="right"/>
            </w:pPr>
            <w:r>
              <w:t xml:space="preserve">+21.9%</w:t>
            </w:r>
          </w:p>
        </w:tc>
      </w:tr>
      <w:tr>
        <w:tc>
          <w:tcPr/>
          <w:p>
            <w:pPr>
              <w:pStyle w:val="Compact"/>
            </w:pPr>
            <w:r>
              <w:t xml:space="preserve">Adjusted diluted EPS</w:t>
            </w:r>
          </w:p>
        </w:tc>
        <w:tc>
          <w:tcPr/>
          <w:p>
            <w:pPr>
              <w:pStyle w:val="Compact"/>
              <w:jc w:val="right"/>
            </w:pPr>
            <w:r>
              <w:t xml:space="preserve">$3.70</w:t>
            </w:r>
          </w:p>
        </w:tc>
        <w:tc>
          <w:tcPr/>
          <w:p>
            <w:pPr>
              <w:pStyle w:val="Compact"/>
              <w:jc w:val="right"/>
            </w:pPr>
            <w:r>
              <w:t xml:space="preserve">+33.0%</w:t>
            </w:r>
          </w:p>
        </w:tc>
      </w:tr>
      <w:tr>
        <w:tc>
          <w:tcPr/>
          <w:p>
            <w:pPr>
              <w:pStyle w:val="Compact"/>
            </w:pPr>
            <w:r>
              <w:t xml:space="preserve">GMNA EBIT-adjusted</w:t>
            </w:r>
          </w:p>
        </w:tc>
        <w:tc>
          <w:tcPr/>
          <w:p>
            <w:pPr>
              <w:pStyle w:val="Compact"/>
              <w:jc w:val="right"/>
            </w:pPr>
            <w:r>
              <w:t xml:space="preserve">$3.66B</w:t>
            </w:r>
          </w:p>
        </w:tc>
        <w:tc>
          <w:tcPr/>
          <w:p>
            <w:pPr>
              <w:pStyle w:val="Compact"/>
              <w:jc w:val="right"/>
            </w:pPr>
            <w:r>
              <w:t xml:space="preserve">+11.4%</w:t>
            </w:r>
          </w:p>
        </w:tc>
      </w:tr>
      <w:tr>
        <w:tc>
          <w:tcPr/>
          <w:p>
            <w:pPr>
              <w:pStyle w:val="Compact"/>
            </w:pPr>
            <w:r>
              <w:t xml:space="preserve">GMNA EBIT-adjusted margin</w:t>
            </w:r>
          </w:p>
        </w:tc>
        <w:tc>
          <w:tcPr/>
          <w:p>
            <w:pPr>
              <w:pStyle w:val="Compact"/>
              <w:jc w:val="right"/>
            </w:pPr>
            <w:r>
              <w:t xml:space="preserve">10.1%</w:t>
            </w:r>
          </w:p>
        </w:tc>
        <w:tc>
          <w:tcPr/>
          <w:p>
            <w:pPr>
              <w:pStyle w:val="Compact"/>
              <w:jc w:val="right"/>
            </w:pPr>
            <w:r>
              <w:t xml:space="preserve">+130 bps</w:t>
            </w:r>
          </w:p>
        </w:tc>
      </w:tr>
    </w:tbl>
    <w:p>
      <w:pPr>
        <w:pStyle w:val="BodyText"/>
      </w:pPr>
      <w:r>
        <w:t xml:space="preserve">However, investors should look through the headline margin. GM said the Q1 GMNA margin included roughly</w:t>
      </w:r>
      <w:r>
        <w:t xml:space="preserve"> </w:t>
      </w:r>
      <w:r>
        <w:rPr>
          <w:b/>
          <w:bCs/>
        </w:rPr>
        <w:t xml:space="preserve">150 bps of benefit</w:t>
      </w:r>
      <w:r>
        <w:t xml:space="preserve"> </w:t>
      </w:r>
      <w:r>
        <w:t xml:space="preserve">from a tariff-related accounting adjustment following the Supreme Court decision on certain IEEPA tariffs. Excluding that item, GMNA margin was approximately</w:t>
      </w:r>
      <w:r>
        <w:t xml:space="preserve"> </w:t>
      </w:r>
      <w:r>
        <w:rPr>
          <w:b/>
          <w:bCs/>
        </w:rPr>
        <w:t xml:space="preserve">8.6%</w:t>
      </w:r>
      <w:r>
        <w:t xml:space="preserve">—still very solid and within the company’s full-year 8%–10% target, but less exceptional than the headline figure.</w:t>
      </w:r>
    </w:p>
    <w:p>
      <w:pPr>
        <w:pStyle w:val="BodyText"/>
      </w:pPr>
      <w:r>
        <w:rPr>
          <w:b/>
          <w:bCs/>
        </w:rPr>
        <w:t xml:space="preserve">What matters in Q2:</w:t>
      </w:r>
      <w:r>
        <w:t xml:space="preserve"> </w:t>
      </w:r>
      <w:r>
        <w:t xml:space="preserve">evidence that price/mix, production efficiency, warranty improvement, and favorable vehicle availability can sustain an 8%-plus North American margin even as tariff and input-cost pressure builds.</w:t>
      </w:r>
    </w:p>
    <w:p>
      <w:r>
        <w:pict>
          <v:rect style="width:0;height:1.5pt" o:hralign="center" o:hrstd="t" o:hr="t"/>
        </w:pict>
      </w:r>
    </w:p>
    <w:bookmarkEnd w:id="10"/>
    <w:bookmarkStart w:id="11" w:name="X3f4901cda05572ffe64fa6f75465ae6ddabd8dd"/>
    <w:p>
      <w:pPr>
        <w:pStyle w:val="Heading3"/>
      </w:pPr>
      <w:r>
        <w:t xml:space="preserve">2. Inventory rebuilding should support volume—but must not come at the expense of incentives</w:t>
      </w:r>
    </w:p>
    <w:p>
      <w:pPr>
        <w:pStyle w:val="FirstParagraph"/>
      </w:pPr>
      <w:r>
        <w:t xml:space="preserve">GM began Q2 with about</w:t>
      </w:r>
      <w:r>
        <w:t xml:space="preserve"> </w:t>
      </w:r>
      <w:r>
        <w:rPr>
          <w:b/>
          <w:bCs/>
        </w:rPr>
        <w:t xml:space="preserve">47 days’ supply</w:t>
      </w:r>
      <w:r>
        <w:t xml:space="preserve"> </w:t>
      </w:r>
      <w:r>
        <w:t xml:space="preserve">at U.S. dealers, below its desired</w:t>
      </w:r>
      <w:r>
        <w:t xml:space="preserve"> </w:t>
      </w:r>
      <w:r>
        <w:rPr>
          <w:b/>
          <w:bCs/>
        </w:rPr>
        <w:t xml:space="preserve">50–60 day</w:t>
      </w:r>
      <w:r>
        <w:t xml:space="preserve"> </w:t>
      </w:r>
      <w:r>
        <w:t xml:space="preserve">range. The company entered Q1 with lean inventory and experienced planned downtime related to next-generation full-size-pickup tooling, constraining deliveries and retail share.</w:t>
      </w:r>
    </w:p>
    <w:p>
      <w:pPr>
        <w:pStyle w:val="BodyText"/>
      </w:pPr>
      <w:r>
        <w:t xml:space="preserve">Management has indicated that much of the major downtime is behind it and that it intends to replenish inventory selectively. That creates a constructive near-term setup:</w:t>
      </w:r>
    </w:p>
    <w:p>
      <w:pPr>
        <w:pStyle w:val="Compact"/>
        <w:numPr>
          <w:ilvl w:val="0"/>
          <w:numId w:val="1002"/>
        </w:numPr>
      </w:pPr>
      <w:r>
        <w:rPr>
          <w:b/>
          <w:bCs/>
        </w:rPr>
        <w:t xml:space="preserve">Higher wholesales</w:t>
      </w:r>
      <w:r>
        <w:t xml:space="preserve"> </w:t>
      </w:r>
      <w:r>
        <w:t xml:space="preserve">can support Q2 revenue and fixed-cost absorption.</w:t>
      </w:r>
    </w:p>
    <w:p>
      <w:pPr>
        <w:pStyle w:val="Compact"/>
        <w:numPr>
          <w:ilvl w:val="0"/>
          <w:numId w:val="1002"/>
        </w:numPr>
      </w:pPr>
      <w:r>
        <w:t xml:space="preserve">Better truck and SUV availability can help recover retail share.</w:t>
      </w:r>
    </w:p>
    <w:p>
      <w:pPr>
        <w:pStyle w:val="Compact"/>
        <w:numPr>
          <w:ilvl w:val="0"/>
          <w:numId w:val="1002"/>
        </w:numPr>
      </w:pPr>
      <w:r>
        <w:t xml:space="preserve">GM can improve dealer availability without necessarily needing broad incentive escalation.</w:t>
      </w:r>
    </w:p>
    <w:p>
      <w:pPr>
        <w:pStyle w:val="FirstParagraph"/>
      </w:pPr>
      <w:r>
        <w:t xml:space="preserve">The risk is that industry discounting intensifies as competitors chase volume. GM’s Q1 U.S. incentive spend as a percentage of MSRP was more than two points below the industry average, a meaningful advantage for margins. Investors should watch whether GM preserves that discipline while rebuilding supply.</w:t>
      </w:r>
    </w:p>
    <w:p>
      <w:pPr>
        <w:pStyle w:val="BodyText"/>
      </w:pPr>
      <w:r>
        <w:rPr>
          <w:b/>
          <w:bCs/>
        </w:rPr>
        <w:t xml:space="preserve">Key Q2 disclosures to watch</w:t>
      </w:r>
    </w:p>
    <w:p>
      <w:pPr>
        <w:pStyle w:val="Compact"/>
        <w:numPr>
          <w:ilvl w:val="0"/>
          <w:numId w:val="1003"/>
        </w:numPr>
      </w:pPr>
      <w:r>
        <w:t xml:space="preserve">U.S. days’ supply and absolute dealer inventory.</w:t>
      </w:r>
    </w:p>
    <w:p>
      <w:pPr>
        <w:pStyle w:val="Compact"/>
        <w:numPr>
          <w:ilvl w:val="0"/>
          <w:numId w:val="1003"/>
        </w:numPr>
      </w:pPr>
      <w:r>
        <w:t xml:space="preserve">Full-size pickup production, shipment, and retail trends.</w:t>
      </w:r>
    </w:p>
    <w:p>
      <w:pPr>
        <w:pStyle w:val="Compact"/>
        <w:numPr>
          <w:ilvl w:val="0"/>
          <w:numId w:val="1003"/>
        </w:numPr>
      </w:pPr>
      <w:r>
        <w:t xml:space="preserve">Incentive spend relative to industry.</w:t>
      </w:r>
    </w:p>
    <w:p>
      <w:pPr>
        <w:pStyle w:val="Compact"/>
        <w:numPr>
          <w:ilvl w:val="0"/>
          <w:numId w:val="1003"/>
        </w:numPr>
      </w:pPr>
      <w:r>
        <w:t xml:space="preserve">Pricing realization and mix, especially in pickups, SUVs, and crossovers.</w:t>
      </w:r>
    </w:p>
    <w:p>
      <w:pPr>
        <w:pStyle w:val="Compact"/>
        <w:numPr>
          <w:ilvl w:val="0"/>
          <w:numId w:val="1003"/>
        </w:numPr>
      </w:pPr>
      <w:r>
        <w:t xml:space="preserve">Comments on the cadence and possible disruption from the late-year truck launch.</w:t>
      </w:r>
    </w:p>
    <w:p>
      <w:r>
        <w:pict>
          <v:rect style="width:0;height:1.5pt" o:hralign="center" o:hrstd="t" o:hr="t"/>
        </w:pict>
      </w:r>
    </w:p>
    <w:bookmarkEnd w:id="11"/>
    <w:bookmarkStart w:id="12" w:name="Xdcef484001383b1e9ac5f0612af1042f07a2603"/>
    <w:p>
      <w:pPr>
        <w:pStyle w:val="Heading3"/>
      </w:pPr>
      <w:r>
        <w:t xml:space="preserve">3. Tariffs and commodities are the biggest swing factors for the second half</w:t>
      </w:r>
    </w:p>
    <w:p>
      <w:pPr>
        <w:pStyle w:val="FirstParagraph"/>
      </w:pPr>
      <w:r>
        <w:t xml:space="preserve">GM raised full-year EBIT-adjusted guidance by $500 million in Q1, but the increase was driven by a favorable tariff-related adjustment—not a broad improvement in its underlying operating outlook.</w:t>
      </w:r>
    </w:p>
    <w:p>
      <w:pPr>
        <w:pStyle w:val="BodyText"/>
      </w:pPr>
      <w:r>
        <w:t xml:space="preserve">The company now expects: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2026 guidance item</w:t>
            </w:r>
          </w:p>
        </w:tc>
        <w:tc>
          <w:tcPr/>
          <w:p>
            <w:pPr>
              <w:pStyle w:val="Compact"/>
              <w:jc w:val="right"/>
            </w:pPr>
            <w:r>
              <w:t xml:space="preserve">Current outlook</w:t>
            </w:r>
          </w:p>
        </w:tc>
      </w:tr>
      <w:tr>
        <w:tc>
          <w:tcPr/>
          <w:p>
            <w:pPr>
              <w:pStyle w:val="Compact"/>
            </w:pPr>
            <w:r>
              <w:t xml:space="preserve">EBIT-adjusted</w:t>
            </w:r>
          </w:p>
        </w:tc>
        <w:tc>
          <w:tcPr/>
          <w:p>
            <w:pPr>
              <w:pStyle w:val="Compact"/>
              <w:jc w:val="right"/>
            </w:pPr>
            <m:oMath>
              <m:r>
                <m:t>13.5</m:t>
              </m:r>
              <m:r>
                <m:t>B</m:t>
              </m:r>
              <m:r>
                <m:rPr>
                  <m:sty m:val="p"/>
                </m:rPr>
                <m:t>–</m:t>
              </m:r>
            </m:oMath>
            <w:r>
              <w:t xml:space="preserve">15.5B</w:t>
            </w:r>
          </w:p>
        </w:tc>
      </w:tr>
      <w:tr>
        <w:tc>
          <w:tcPr/>
          <w:p>
            <w:pPr>
              <w:pStyle w:val="Compact"/>
            </w:pPr>
            <w:r>
              <w:t xml:space="preserve">Adjusted EPS</w:t>
            </w:r>
          </w:p>
        </w:tc>
        <w:tc>
          <w:tcPr/>
          <w:p>
            <w:pPr>
              <w:pStyle w:val="Compact"/>
              <w:jc w:val="right"/>
            </w:pPr>
            <m:oMath>
              <m:r>
                <m:t>11.50</m:t>
              </m:r>
              <m:r>
                <m:rPr>
                  <m:sty m:val="p"/>
                </m:rPr>
                <m:t>–</m:t>
              </m:r>
            </m:oMath>
            <w:r>
              <w:t xml:space="preserve">13.50</w:t>
            </w:r>
          </w:p>
        </w:tc>
      </w:tr>
      <w:tr>
        <w:tc>
          <w:tcPr/>
          <w:p>
            <w:pPr>
              <w:pStyle w:val="Compact"/>
            </w:pPr>
            <w:r>
              <w:t xml:space="preserve">Adjusted automotive FCF</w:t>
            </w:r>
          </w:p>
        </w:tc>
        <w:tc>
          <w:tcPr/>
          <w:p>
            <w:pPr>
              <w:pStyle w:val="Compact"/>
              <w:jc w:val="right"/>
            </w:pPr>
            <m:oMath>
              <m:r>
                <m:t>9</m:t>
              </m:r>
              <m:r>
                <m:t>B</m:t>
              </m:r>
              <m:r>
                <m:rPr>
                  <m:sty m:val="p"/>
                </m:rPr>
                <m:t>–</m:t>
              </m:r>
            </m:oMath>
            <w:r>
              <w:t xml:space="preserve">11B</w:t>
            </w:r>
          </w:p>
        </w:tc>
      </w:tr>
      <w:tr>
        <w:tc>
          <w:tcPr/>
          <w:p>
            <w:pPr>
              <w:pStyle w:val="Compact"/>
            </w:pPr>
            <w:r>
              <w:t xml:space="preserve">Gross tariff costs</w:t>
            </w:r>
          </w:p>
        </w:tc>
        <w:tc>
          <w:tcPr/>
          <w:p>
            <w:pPr>
              <w:pStyle w:val="Compact"/>
              <w:jc w:val="right"/>
            </w:pPr>
            <m:oMath>
              <m:r>
                <m:t>2.5</m:t>
              </m:r>
              <m:r>
                <m:t>B</m:t>
              </m:r>
              <m:r>
                <m:rPr>
                  <m:sty m:val="p"/>
                </m:rPr>
                <m:t>–</m:t>
              </m:r>
            </m:oMath>
            <w:r>
              <w:t xml:space="preserve">3.5B</w:t>
            </w:r>
          </w:p>
        </w:tc>
      </w:tr>
      <w:tr>
        <w:tc>
          <w:tcPr/>
          <w:p>
            <w:pPr>
              <w:pStyle w:val="Compact"/>
            </w:pPr>
            <w:r>
              <w:t xml:space="preserve">Commodity/logistics inflation</w:t>
            </w:r>
          </w:p>
        </w:tc>
        <w:tc>
          <w:tcPr/>
          <w:p>
            <w:pPr>
              <w:pStyle w:val="Compact"/>
              <w:jc w:val="right"/>
            </w:pPr>
            <m:oMath>
              <m:r>
                <m:t>1.5</m:t>
              </m:r>
              <m:r>
                <m:t>B</m:t>
              </m:r>
              <m:r>
                <m:rPr>
                  <m:sty m:val="p"/>
                </m:rPr>
                <m:t>–</m:t>
              </m:r>
            </m:oMath>
            <w:r>
              <w:t xml:space="preserve">2.0B</w:t>
            </w:r>
          </w:p>
        </w:tc>
      </w:tr>
      <w:tr>
        <w:tc>
          <w:tcPr/>
          <w:p>
            <w:pPr>
              <w:pStyle w:val="Compact"/>
            </w:pPr>
            <w:r>
              <w:t xml:space="preserve">GM Financial EBT-adjusted</w:t>
            </w:r>
          </w:p>
        </w:tc>
        <w:tc>
          <w:tcPr/>
          <w:p>
            <w:pPr>
              <w:pStyle w:val="Compact"/>
              <w:jc w:val="right"/>
            </w:pPr>
            <m:oMath>
              <m:r>
                <m:t>2.5</m:t>
              </m:r>
              <m:r>
                <m:t>B</m:t>
              </m:r>
              <m:r>
                <m:rPr>
                  <m:sty m:val="p"/>
                </m:rPr>
                <m:t>–</m:t>
              </m:r>
            </m:oMath>
            <w:r>
              <w:t xml:space="preserve">3.0B</w:t>
            </w:r>
          </w:p>
        </w:tc>
      </w:tr>
    </w:tbl>
    <w:p>
      <w:pPr>
        <w:pStyle w:val="BodyText"/>
      </w:pPr>
      <w:r>
        <w:t xml:space="preserve">The Q1 message was effectively: core execution is good, but higher freight, commodity, logistics, and onshoring costs are absorbing much of the upside. GM also flagged the Middle East conflict and higher oil-related costs as risks to commodity prices, transportation costs, and consumer mix.</w:t>
      </w:r>
    </w:p>
    <w:p>
      <w:pPr>
        <w:pStyle w:val="BodyText"/>
      </w:pPr>
      <w:r>
        <w:t xml:space="preserve">The Q2 call should clarify whether:</w:t>
      </w:r>
    </w:p>
    <w:p>
      <w:pPr>
        <w:pStyle w:val="Compact"/>
        <w:numPr>
          <w:ilvl w:val="0"/>
          <w:numId w:val="1004"/>
        </w:numPr>
      </w:pPr>
      <w:r>
        <w:t xml:space="preserve">Tariff mitigation is progressing as planned;</w:t>
      </w:r>
    </w:p>
    <w:p>
      <w:pPr>
        <w:pStyle w:val="Compact"/>
        <w:numPr>
          <w:ilvl w:val="0"/>
          <w:numId w:val="1004"/>
        </w:numPr>
      </w:pPr>
      <w:r>
        <w:t xml:space="preserve">Commodity and freight costs have moved above management’s prior assumptions;</w:t>
      </w:r>
    </w:p>
    <w:p>
      <w:pPr>
        <w:pStyle w:val="Compact"/>
        <w:numPr>
          <w:ilvl w:val="0"/>
          <w:numId w:val="1004"/>
        </w:numPr>
      </w:pPr>
      <w:r>
        <w:t xml:space="preserve">GM is offsetting pressure through purchasing, manufacturing efficiencies, spending controls, pricing, or mix;</w:t>
      </w:r>
    </w:p>
    <w:p>
      <w:pPr>
        <w:pStyle w:val="Compact"/>
        <w:numPr>
          <w:ilvl w:val="0"/>
          <w:numId w:val="1004"/>
        </w:numPr>
      </w:pPr>
      <w:r>
        <w:t xml:space="preserve">The company still sees the same earnings cadence for the back half.</w:t>
      </w:r>
    </w:p>
    <w:p>
      <w:pPr>
        <w:pStyle w:val="FirstParagraph"/>
      </w:pPr>
      <w:r>
        <w:rPr>
          <w:b/>
          <w:bCs/>
        </w:rPr>
        <w:t xml:space="preserve">Most important guidance read-through:</w:t>
      </w:r>
      <w:r>
        <w:t xml:space="preserve"> </w:t>
      </w:r>
      <w:r>
        <w:t xml:space="preserve">a reaffirmation of guidance would be constructive only if management also communicates that cost headwinds remain manageable and that Q1’s tariff adjustment is not masking deterioration in underlying profitability.</w:t>
      </w:r>
    </w:p>
    <w:p>
      <w:r>
        <w:pict>
          <v:rect style="width:0;height:1.5pt" o:hralign="center" o:hrstd="t" o:hr="t"/>
        </w:pict>
      </w:r>
    </w:p>
    <w:bookmarkEnd w:id="12"/>
    <w:bookmarkEnd w:id="13"/>
    <w:bookmarkStart w:id="16" w:name="X1df422a0c181c6663820eb5209bb01e8bf56b8e"/>
    <w:p>
      <w:pPr>
        <w:pStyle w:val="Heading2"/>
      </w:pPr>
      <w:r>
        <w:t xml:space="preserve">Cash flow is arguably more important than EPS</w:t>
      </w:r>
    </w:p>
    <w:p>
      <w:pPr>
        <w:pStyle w:val="FirstParagraph"/>
      </w:pPr>
      <w:r>
        <w:t xml:space="preserve">GM maintained 2026 adjusted automotive free-cash-flow guidance of</w:t>
      </w:r>
      <w:r>
        <w:t xml:space="preserve"> </w:t>
      </w:r>
      <m:oMath>
        <m:r>
          <m:t>9</m:t>
        </m:r>
        <m:r>
          <m:rPr>
            <m:sty m:val="p"/>
          </m:rPr>
          <m:t>–</m:t>
        </m:r>
      </m:oMath>
      <w:r>
        <w:rPr>
          <w:b/>
          <w:bCs/>
        </w:rPr>
        <w:t xml:space="preserve">11 billion</w:t>
      </w:r>
      <w:r>
        <w:t xml:space="preserve">, but explicitly said cash flow would be weighted to the second half. That makes the Q2 cash-flow bridge critical.</w:t>
      </w:r>
    </w:p>
    <w:p>
      <w:pPr>
        <w:pStyle w:val="BodyText"/>
      </w:pPr>
      <w:r>
        <w:t xml:space="preserve">In Q1:</w:t>
      </w:r>
    </w:p>
    <w:p>
      <w:pPr>
        <w:pStyle w:val="Compact"/>
        <w:numPr>
          <w:ilvl w:val="0"/>
          <w:numId w:val="1005"/>
        </w:numPr>
      </w:pPr>
      <w:r>
        <w:t xml:space="preserve">Automotive operating cash flow was just</w:t>
      </w:r>
      <w:r>
        <w:t xml:space="preserve"> </w:t>
      </w:r>
      <w:r>
        <w:rPr>
          <w:b/>
          <w:bCs/>
        </w:rPr>
        <w:t xml:space="preserve">$533 million</w:t>
      </w:r>
      <w:r>
        <w:t xml:space="preserve">, down materially year over year.</w:t>
      </w:r>
    </w:p>
    <w:p>
      <w:pPr>
        <w:pStyle w:val="Compact"/>
        <w:numPr>
          <w:ilvl w:val="0"/>
          <w:numId w:val="1005"/>
        </w:numPr>
      </w:pPr>
      <w:r>
        <w:t xml:space="preserve">Adjusted automotive free cash flow was</w:t>
      </w:r>
      <w:r>
        <w:t xml:space="preserve"> </w:t>
      </w:r>
      <w:r>
        <w:rPr>
          <w:b/>
          <w:bCs/>
        </w:rPr>
        <w:t xml:space="preserve">$1.27 billion</w:t>
      </w:r>
      <w:r>
        <w:t xml:space="preserve">, aided by adjustments related primarily to EV strategic realignment.</w:t>
      </w:r>
    </w:p>
    <w:p>
      <w:pPr>
        <w:pStyle w:val="Compact"/>
        <w:numPr>
          <w:ilvl w:val="0"/>
          <w:numId w:val="1005"/>
        </w:numPr>
      </w:pPr>
      <w:r>
        <w:t xml:space="preserve">GM had paid</w:t>
      </w:r>
      <w:r>
        <w:t xml:space="preserve"> </w:t>
      </w:r>
      <m:oMath>
        <m:r>
          <m:t>2.6</m:t>
        </m:r>
        <m:r>
          <m:t>b</m:t>
        </m:r>
        <m:r>
          <m:t>i</m:t>
        </m:r>
        <m:r>
          <m:t>l</m:t>
        </m:r>
        <m:r>
          <m:t>l</m:t>
        </m:r>
        <m:r>
          <m:t>i</m:t>
        </m:r>
        <m:r>
          <m:t>o</m:t>
        </m:r>
        <m:r>
          <m:t>n</m:t>
        </m:r>
        <m:r>
          <m:rPr>
            <m:sty m:val="p"/>
          </m:rPr>
          <m:t>*</m:t>
        </m:r>
        <m:r>
          <m:rPr>
            <m:sty m:val="p"/>
          </m:rPr>
          <m:t>*</m:t>
        </m:r>
        <m:r>
          <m:t>o</m:t>
        </m:r>
        <m:r>
          <m:t>f</m:t>
        </m:r>
        <m:r>
          <m:t>E</m:t>
        </m:r>
        <m:r>
          <m:t>V</m:t>
        </m:r>
        <m:r>
          <m:rPr>
            <m:sty m:val="p"/>
          </m:rPr>
          <m:t>−</m:t>
        </m:r>
        <m:r>
          <m:t>r</m:t>
        </m:r>
        <m:r>
          <m:t>e</m:t>
        </m:r>
        <m:r>
          <m:t>l</m:t>
        </m:r>
        <m:r>
          <m:t>a</m:t>
        </m:r>
        <m:r>
          <m:t>t</m:t>
        </m:r>
        <m:r>
          <m:t>e</m:t>
        </m:r>
        <m:r>
          <m:t>d</m:t>
        </m:r>
        <m:r>
          <m:t>c</m:t>
        </m:r>
        <m:r>
          <m:t>a</m:t>
        </m:r>
        <m:r>
          <m:t>s</m:t>
        </m:r>
        <m:r>
          <m:t>h</m:t>
        </m:r>
        <m:r>
          <m:t>c</m:t>
        </m:r>
        <m:r>
          <m:t>h</m:t>
        </m:r>
        <m:r>
          <m:t>a</m:t>
        </m:r>
        <m:r>
          <m:t>r</m:t>
        </m:r>
        <m:r>
          <m:t>g</m:t>
        </m:r>
        <m:r>
          <m:t>e</m:t>
        </m:r>
        <m:r>
          <m:t>s</m:t>
        </m:r>
        <m:r>
          <m:t>b</m:t>
        </m:r>
        <m:r>
          <m:t>y</m:t>
        </m:r>
        <m:r>
          <m:t>M</m:t>
        </m:r>
        <m:r>
          <m:t>a</m:t>
        </m:r>
        <m:r>
          <m:t>r</m:t>
        </m:r>
        <m:r>
          <m:t>c</m:t>
        </m:r>
        <m:r>
          <m:t>h</m:t>
        </m:r>
        <m:r>
          <m:t>31</m:t>
        </m:r>
        <m:r>
          <m:rPr>
            <m:sty m:val="p"/>
          </m:rPr>
          <m:t>,</m:t>
        </m:r>
        <m:r>
          <m:t>p</m:t>
        </m:r>
        <m:r>
          <m:t>l</m:t>
        </m:r>
        <m:r>
          <m:t>u</m:t>
        </m:r>
        <m:r>
          <m:t>s</m:t>
        </m:r>
        <m:r>
          <m:t>a</m:t>
        </m:r>
        <m:r>
          <m:t>n</m:t>
        </m:r>
        <m:r>
          <m:t>o</m:t>
        </m:r>
        <m:r>
          <m:t>t</m:t>
        </m:r>
        <m:r>
          <m:t>h</m:t>
        </m:r>
        <m:r>
          <m:t>e</m:t>
        </m:r>
        <m:r>
          <m:t>r</m:t>
        </m:r>
        <m:r>
          <m:rPr>
            <m:sty m:val="p"/>
          </m:rPr>
          <m:t>*</m:t>
        </m:r>
        <m:r>
          <m:rPr>
            <m:sty m:val="p"/>
          </m:rPr>
          <m:t>*</m:t>
        </m:r>
      </m:oMath>
      <w:r>
        <w:rPr>
          <w:b/>
          <w:bCs/>
        </w:rPr>
        <w:t xml:space="preserve">600 million in April</w:t>
      </w:r>
      <w:r>
        <w:t xml:space="preserve">.</w:t>
      </w:r>
    </w:p>
    <w:p>
      <w:pPr>
        <w:pStyle w:val="Compact"/>
        <w:numPr>
          <w:ilvl w:val="0"/>
          <w:numId w:val="1005"/>
        </w:numPr>
      </w:pPr>
      <w:r>
        <w:t xml:space="preserve">Management expected substantially all supplier-commercial-claim cash payments to be resolved by the end of Q2, while more complex battery-raw-material negotiations could extend longer.</w:t>
      </w:r>
    </w:p>
    <w:p>
      <w:pPr>
        <w:pStyle w:val="FirstParagraph"/>
      </w:pPr>
      <w:r>
        <w:t xml:space="preserve">This creates an important near-term tension: GM may report healthy earnings while free cash flow remains pressured by EV restructuring payments and working-capital needs.</w:t>
      </w:r>
    </w:p>
    <w:bookmarkStart w:id="14" w:name="what-would-be-constructive"/>
    <w:p>
      <w:pPr>
        <w:pStyle w:val="Heading3"/>
      </w:pPr>
      <w:r>
        <w:t xml:space="preserve">What would be constructive</w:t>
      </w:r>
    </w:p>
    <w:p>
      <w:pPr>
        <w:pStyle w:val="Compact"/>
        <w:numPr>
          <w:ilvl w:val="0"/>
          <w:numId w:val="1006"/>
        </w:numPr>
      </w:pPr>
      <w:r>
        <w:t xml:space="preserve">Confirmation that the bulk of EV supplier settlements are now paid or definitively quantified.</w:t>
      </w:r>
    </w:p>
    <w:p>
      <w:pPr>
        <w:pStyle w:val="Compact"/>
        <w:numPr>
          <w:ilvl w:val="0"/>
          <w:numId w:val="1006"/>
        </w:numPr>
      </w:pPr>
      <w:r>
        <w:t xml:space="preserve">No reduction to the</w:t>
      </w:r>
      <w:r>
        <w:t xml:space="preserve"> </w:t>
      </w:r>
      <m:oMath>
        <m:r>
          <m:t>9</m:t>
        </m:r>
        <m:r>
          <m:rPr>
            <m:sty m:val="p"/>
          </m:rPr>
          <m:t>–</m:t>
        </m:r>
      </m:oMath>
      <w:r>
        <w:t xml:space="preserve">11 billion FCF outlook.</w:t>
      </w:r>
    </w:p>
    <w:p>
      <w:pPr>
        <w:pStyle w:val="Compact"/>
        <w:numPr>
          <w:ilvl w:val="0"/>
          <w:numId w:val="1006"/>
        </w:numPr>
      </w:pPr>
      <w:r>
        <w:t xml:space="preserve">Stronger automotive operating cash flow as production and inventory normalize.</w:t>
      </w:r>
    </w:p>
    <w:p>
      <w:pPr>
        <w:pStyle w:val="Compact"/>
        <w:numPr>
          <w:ilvl w:val="0"/>
          <w:numId w:val="1006"/>
        </w:numPr>
      </w:pPr>
      <w:r>
        <w:t xml:space="preserve">Continued ability to fund dividends, buybacks, and strategic investment without stressing automotive liquidity.</w:t>
      </w:r>
    </w:p>
    <w:bookmarkEnd w:id="14"/>
    <w:bookmarkStart w:id="15" w:name="what-would-concern-investors"/>
    <w:p>
      <w:pPr>
        <w:pStyle w:val="Heading3"/>
      </w:pPr>
      <w:r>
        <w:t xml:space="preserve">What would concern investors</w:t>
      </w:r>
    </w:p>
    <w:p>
      <w:pPr>
        <w:pStyle w:val="Compact"/>
        <w:numPr>
          <w:ilvl w:val="0"/>
          <w:numId w:val="1007"/>
        </w:numPr>
      </w:pPr>
      <w:r>
        <w:t xml:space="preserve">A larger or more prolonged EV cash drain.</w:t>
      </w:r>
    </w:p>
    <w:p>
      <w:pPr>
        <w:pStyle w:val="Compact"/>
        <w:numPr>
          <w:ilvl w:val="0"/>
          <w:numId w:val="1007"/>
        </w:numPr>
      </w:pPr>
      <w:r>
        <w:t xml:space="preserve">Meaningful working-capital consumption from inventory rebuilding.</w:t>
      </w:r>
    </w:p>
    <w:p>
      <w:pPr>
        <w:pStyle w:val="Compact"/>
        <w:numPr>
          <w:ilvl w:val="0"/>
          <w:numId w:val="1007"/>
        </w:numPr>
      </w:pPr>
      <w:r>
        <w:t xml:space="preserve">Lower GM Financial dividends to the automotive parent.</w:t>
      </w:r>
    </w:p>
    <w:p>
      <w:pPr>
        <w:pStyle w:val="Compact"/>
        <w:numPr>
          <w:ilvl w:val="0"/>
          <w:numId w:val="1007"/>
        </w:numPr>
      </w:pPr>
      <w:r>
        <w:t xml:space="preserve">A shift in free-cash-flow weighting even further into 2H26.</w:t>
      </w:r>
    </w:p>
    <w:p>
      <w:r>
        <w:pict>
          <v:rect style="width:0;height:1.5pt" o:hralign="center" o:hrstd="t" o:hr="t"/>
        </w:pict>
      </w:r>
    </w:p>
    <w:bookmarkEnd w:id="15"/>
    <w:bookmarkEnd w:id="16"/>
    <w:bookmarkStart w:id="21" w:name="the-operating-segments-to-watch"/>
    <w:p>
      <w:pPr>
        <w:pStyle w:val="Heading2"/>
      </w:pPr>
      <w:r>
        <w:t xml:space="preserve">The operating segments to watch</w:t>
      </w:r>
    </w:p>
    <w:bookmarkStart w:id="17" w:name="gm-north-america-the-earnings-engine"/>
    <w:p>
      <w:pPr>
        <w:pStyle w:val="Heading3"/>
      </w:pPr>
      <w:r>
        <w:t xml:space="preserve">GM North America: the earnings engine</w:t>
      </w:r>
    </w:p>
    <w:p>
      <w:pPr>
        <w:pStyle w:val="FirstParagraph"/>
      </w:pPr>
      <w:r>
        <w:t xml:space="preserve">GMNA generated</w:t>
      </w:r>
      <w:r>
        <w:t xml:space="preserve"> </w:t>
      </w:r>
      <w:r>
        <w:rPr>
          <w:b/>
          <w:bCs/>
        </w:rPr>
        <w:t xml:space="preserve">$3.66 billion</w:t>
      </w:r>
      <w:r>
        <w:t xml:space="preserve"> </w:t>
      </w:r>
      <w:r>
        <w:t xml:space="preserve">of Q1 EBIT-adjusted profit. The Q2 debate centers on whether higher truck/SUV production and improved inventory can offset rising costs while maintaining low incentives.</w:t>
      </w:r>
    </w:p>
    <w:p>
      <w:pPr>
        <w:pStyle w:val="BodyText"/>
      </w:pPr>
      <w:r>
        <w:t xml:space="preserve">The opportunity is meaningful: GM retains major scale in full-size pickups and has a broad crossover portfolio that provides some mix protection if fuel prices shift demand away from larger vehicles. The risk is that fuel-cost pressure, tariffs, or consumer stress weakens the high-margin truck/SUV mix that underpins North American profitability.</w:t>
      </w:r>
    </w:p>
    <w:bookmarkEnd w:id="17"/>
    <w:bookmarkStart w:id="18" w:name="Xed299950ad900292a9fbc916a79989f44fb5de4"/>
    <w:p>
      <w:pPr>
        <w:pStyle w:val="Heading3"/>
      </w:pPr>
      <w:r>
        <w:t xml:space="preserve">China: profitability is improving, but the market remains difficult</w:t>
      </w:r>
    </w:p>
    <w:p>
      <w:pPr>
        <w:pStyle w:val="FirstParagraph"/>
      </w:pPr>
      <w:r>
        <w:t xml:space="preserve">China equity income was</w:t>
      </w:r>
      <w:r>
        <w:t xml:space="preserve"> </w:t>
      </w:r>
      <m:oMath>
        <m:r>
          <m:t>165</m:t>
        </m:r>
        <m:r>
          <m:t>m</m:t>
        </m:r>
        <m:r>
          <m:t>i</m:t>
        </m:r>
        <m:r>
          <m:t>l</m:t>
        </m:r>
        <m:r>
          <m:t>l</m:t>
        </m:r>
        <m:r>
          <m:t>i</m:t>
        </m:r>
        <m:r>
          <m:t>o</m:t>
        </m:r>
        <m:r>
          <m:t>n</m:t>
        </m:r>
        <m:r>
          <m:rPr>
            <m:sty m:val="p"/>
          </m:rPr>
          <m:t>*</m:t>
        </m:r>
        <m:r>
          <m:rPr>
            <m:sty m:val="p"/>
          </m:rPr>
          <m:t>*</m:t>
        </m:r>
        <m:r>
          <m:t>i</m:t>
        </m:r>
        <m:r>
          <m:t>n</m:t>
        </m:r>
        <m:r>
          <m:t>Q</m:t>
        </m:r>
        <m:r>
          <m:t>1</m:t>
        </m:r>
        <m:r>
          <m:rPr>
            <m:sty m:val="p"/>
          </m:rPr>
          <m:t>,</m:t>
        </m:r>
        <m:r>
          <m:t>a</m:t>
        </m:r>
        <m:r>
          <m:t>l</m:t>
        </m:r>
        <m:r>
          <m:t>t</m:t>
        </m:r>
        <m:r>
          <m:t>h</m:t>
        </m:r>
        <m:r>
          <m:t>o</m:t>
        </m:r>
        <m:r>
          <m:t>u</m:t>
        </m:r>
        <m:r>
          <m:t>g</m:t>
        </m:r>
        <m:r>
          <m:t>h</m:t>
        </m:r>
        <m:r>
          <m:t>m</m:t>
        </m:r>
        <m:r>
          <m:t>a</m:t>
        </m:r>
        <m:r>
          <m:t>n</m:t>
        </m:r>
        <m:r>
          <m:t>a</m:t>
        </m:r>
        <m:r>
          <m:t>g</m:t>
        </m:r>
        <m:r>
          <m:t>e</m:t>
        </m:r>
        <m:r>
          <m:t>m</m:t>
        </m:r>
        <m:r>
          <m:t>e</m:t>
        </m:r>
        <m:r>
          <m:t>n</m:t>
        </m:r>
        <m:r>
          <m:t>t</m:t>
        </m:r>
        <m:r>
          <m:t>s</m:t>
        </m:r>
        <m:r>
          <m:t>a</m:t>
        </m:r>
        <m:r>
          <m:t>i</m:t>
        </m:r>
        <m:r>
          <m:t>d</m:t>
        </m:r>
        <m:r>
          <m:t>i</m:t>
        </m:r>
        <m:r>
          <m:t>t</m:t>
        </m:r>
        <m:r>
          <m:t>w</m:t>
        </m:r>
        <m:r>
          <m:t>a</m:t>
        </m:r>
        <m:r>
          <m:t>s</m:t>
        </m:r>
        <m:r>
          <m:t>c</m:t>
        </m:r>
        <m:r>
          <m:t>l</m:t>
        </m:r>
        <m:r>
          <m:t>o</m:t>
        </m:r>
        <m:r>
          <m:t>s</m:t>
        </m:r>
        <m:r>
          <m:t>e</m:t>
        </m:r>
        <m:r>
          <m:t>r</m:t>
        </m:r>
        <m:r>
          <m:t>t</m:t>
        </m:r>
        <m:r>
          <m:t>o</m:t>
        </m:r>
        <m:r>
          <m:rPr>
            <m:sty m:val="p"/>
          </m:rPr>
          <m:t>*</m:t>
        </m:r>
        <m:r>
          <m:rPr>
            <m:sty m:val="p"/>
          </m:rPr>
          <m:t>*</m:t>
        </m:r>
      </m:oMath>
      <w:r>
        <w:rPr>
          <w:b/>
          <w:bCs/>
        </w:rPr>
        <w:t xml:space="preserve">100 million excluding a plant-sale gain</w:t>
      </w:r>
      <w:r>
        <w:t xml:space="preserve">. GM emphasized that China has been profitable for six consecutive quarters and that restructuring, disciplined production, and refreshed products are helping.</w:t>
      </w:r>
    </w:p>
    <w:p>
      <w:pPr>
        <w:pStyle w:val="BodyText"/>
      </w:pPr>
      <w:r>
        <w:t xml:space="preserve">For Q2, investors should focus less on the absolute quarterly number and more on:</w:t>
      </w:r>
    </w:p>
    <w:p>
      <w:pPr>
        <w:pStyle w:val="Compact"/>
        <w:numPr>
          <w:ilvl w:val="0"/>
          <w:numId w:val="1008"/>
        </w:numPr>
      </w:pPr>
      <w:r>
        <w:t xml:space="preserve">Whether China remains consistently profitable;</w:t>
      </w:r>
    </w:p>
    <w:p>
      <w:pPr>
        <w:pStyle w:val="Compact"/>
        <w:numPr>
          <w:ilvl w:val="0"/>
          <w:numId w:val="1008"/>
        </w:numPr>
      </w:pPr>
      <w:r>
        <w:t xml:space="preserve">Market-share trajectory amid intense local competition;</w:t>
      </w:r>
    </w:p>
    <w:p>
      <w:pPr>
        <w:pStyle w:val="Compact"/>
        <w:numPr>
          <w:ilvl w:val="0"/>
          <w:numId w:val="1008"/>
        </w:numPr>
      </w:pPr>
      <w:r>
        <w:t xml:space="preserve">The pace of new-energy-vehicle and software-product launches;</w:t>
      </w:r>
    </w:p>
    <w:p>
      <w:pPr>
        <w:pStyle w:val="Compact"/>
        <w:numPr>
          <w:ilvl w:val="0"/>
          <w:numId w:val="1008"/>
        </w:numPr>
      </w:pPr>
      <w:r>
        <w:t xml:space="preserve">Any incremental restructuring or impairment risk.</w:t>
      </w:r>
    </w:p>
    <w:bookmarkEnd w:id="18"/>
    <w:bookmarkStart w:id="19" w:name="X78f3675ed8cd63fcc34b6b4ff6180439c001cc3"/>
    <w:p>
      <w:pPr>
        <w:pStyle w:val="Heading3"/>
      </w:pPr>
      <w:r>
        <w:t xml:space="preserve">GM Financial: stable, but credit and residual-value risks matter</w:t>
      </w:r>
    </w:p>
    <w:p>
      <w:pPr>
        <w:pStyle w:val="FirstParagraph"/>
      </w:pPr>
      <w:r>
        <w:t xml:space="preserve">GM Financial delivered</w:t>
      </w:r>
      <w:r>
        <w:t xml:space="preserve"> </w:t>
      </w:r>
      <m:oMath>
        <m:r>
          <m:t>688</m:t>
        </m:r>
        <m:r>
          <m:t>m</m:t>
        </m:r>
        <m:r>
          <m:t>i</m:t>
        </m:r>
        <m:r>
          <m:t>l</m:t>
        </m:r>
        <m:r>
          <m:t>l</m:t>
        </m:r>
        <m:r>
          <m:t>i</m:t>
        </m:r>
        <m:r>
          <m:t>o</m:t>
        </m:r>
        <m:r>
          <m:t>n</m:t>
        </m:r>
        <m:r>
          <m:rPr>
            <m:sty m:val="p"/>
          </m:rPr>
          <m:t>*</m:t>
        </m:r>
        <m:r>
          <m:rPr>
            <m:sty m:val="p"/>
          </m:rPr>
          <m:t>*</m:t>
        </m:r>
        <m:r>
          <m:t>o</m:t>
        </m:r>
        <m:r>
          <m:t>f</m:t>
        </m:r>
        <m:r>
          <m:t>Q</m:t>
        </m:r>
        <m:r>
          <m:t>1</m:t>
        </m:r>
        <m:r>
          <m:t>E</m:t>
        </m:r>
        <m:r>
          <m:t>B</m:t>
        </m:r>
        <m:r>
          <m:t>T</m:t>
        </m:r>
        <m:r>
          <m:rPr>
            <m:sty m:val="p"/>
          </m:rPr>
          <m:t>−</m:t>
        </m:r>
        <m:r>
          <m:t>a</m:t>
        </m:r>
        <m:r>
          <m:t>d</m:t>
        </m:r>
        <m:r>
          <m:t>j</m:t>
        </m:r>
        <m:r>
          <m:t>u</m:t>
        </m:r>
        <m:r>
          <m:t>s</m:t>
        </m:r>
        <m:r>
          <m:t>t</m:t>
        </m:r>
        <m:r>
          <m:t>e</m:t>
        </m:r>
        <m:r>
          <m:t>d</m:t>
        </m:r>
        <m:r>
          <m:t>p</m:t>
        </m:r>
        <m:r>
          <m:t>r</m:t>
        </m:r>
        <m:r>
          <m:t>o</m:t>
        </m:r>
        <m:r>
          <m:t>f</m:t>
        </m:r>
        <m:r>
          <m:t>i</m:t>
        </m:r>
        <m:r>
          <m:t>t</m:t>
        </m:r>
        <m:r>
          <m:t>a</m:t>
        </m:r>
        <m:r>
          <m:t>n</m:t>
        </m:r>
        <m:r>
          <m:t>d</m:t>
        </m:r>
        <m:r>
          <m:t>c</m:t>
        </m:r>
        <m:r>
          <m:t>o</m:t>
        </m:r>
        <m:r>
          <m:t>n</m:t>
        </m:r>
        <m:r>
          <m:t>t</m:t>
        </m:r>
        <m:r>
          <m:t>i</m:t>
        </m:r>
        <m:r>
          <m:t>n</m:t>
        </m:r>
        <m:r>
          <m:t>u</m:t>
        </m:r>
        <m:r>
          <m:t>e</m:t>
        </m:r>
        <m:r>
          <m:t>s</m:t>
        </m:r>
        <m:r>
          <m:t>t</m:t>
        </m:r>
        <m:r>
          <m:t>o</m:t>
        </m:r>
        <m:r>
          <m:t>g</m:t>
        </m:r>
        <m:r>
          <m:t>u</m:t>
        </m:r>
        <m:r>
          <m:t>i</m:t>
        </m:r>
        <m:r>
          <m:t>d</m:t>
        </m:r>
        <m:r>
          <m:t>e</m:t>
        </m:r>
        <m:r>
          <m:t>t</m:t>
        </m:r>
        <m:r>
          <m:t>o</m:t>
        </m:r>
        <m:r>
          <m:rPr>
            <m:sty m:val="p"/>
          </m:rPr>
          <m:t>*</m:t>
        </m:r>
        <m:r>
          <m:rPr>
            <m:sty m:val="p"/>
          </m:rPr>
          <m:t>*</m:t>
        </m:r>
      </m:oMath>
      <w:r>
        <w:rPr>
          <w:b/>
          <w:bCs/>
        </w:rPr>
        <w:t xml:space="preserve">2.5–$3.0 billion</w:t>
      </w:r>
      <w:r>
        <w:t xml:space="preserve"> </w:t>
      </w:r>
      <w:r>
        <w:t xml:space="preserve">for the full year. That stability is valuable, but the financing arm remains sensitive to used-vehicle values, consumer credit performance, funding costs, and EV lease residual assumptions.</w:t>
      </w:r>
    </w:p>
    <w:p>
      <w:pPr>
        <w:pStyle w:val="BodyText"/>
      </w:pPr>
      <w:r>
        <w:t xml:space="preserve">Watch for:</w:t>
      </w:r>
    </w:p>
    <w:p>
      <w:pPr>
        <w:pStyle w:val="Compact"/>
        <w:numPr>
          <w:ilvl w:val="0"/>
          <w:numId w:val="1009"/>
        </w:numPr>
      </w:pPr>
      <w:r>
        <w:t xml:space="preserve">Credit-loss trends and delinquencies;</w:t>
      </w:r>
    </w:p>
    <w:p>
      <w:pPr>
        <w:pStyle w:val="Compact"/>
        <w:numPr>
          <w:ilvl w:val="0"/>
          <w:numId w:val="1009"/>
        </w:numPr>
      </w:pPr>
      <w:r>
        <w:t xml:space="preserve">Residual-value adjustments;</w:t>
      </w:r>
    </w:p>
    <w:p>
      <w:pPr>
        <w:pStyle w:val="Compact"/>
        <w:numPr>
          <w:ilvl w:val="0"/>
          <w:numId w:val="1009"/>
        </w:numPr>
      </w:pPr>
      <w:r>
        <w:t xml:space="preserve">Any additional accelerated depreciation tied to EV leases;</w:t>
      </w:r>
    </w:p>
    <w:p>
      <w:pPr>
        <w:pStyle w:val="Compact"/>
        <w:numPr>
          <w:ilvl w:val="0"/>
          <w:numId w:val="1009"/>
        </w:numPr>
      </w:pPr>
      <w:r>
        <w:t xml:space="preserve">The sustainability and timing of dividends upstream to GM Automotive.</w:t>
      </w:r>
    </w:p>
    <w:bookmarkEnd w:id="19"/>
    <w:bookmarkStart w:id="20" w:name="X5d19c05a445c65a9ca06706e976e9460f3e509d"/>
    <w:p>
      <w:pPr>
        <w:pStyle w:val="Heading3"/>
      </w:pPr>
      <w:r>
        <w:t xml:space="preserve">Software and connected services: the underappreciated offset</w:t>
      </w:r>
    </w:p>
    <w:p>
      <w:pPr>
        <w:pStyle w:val="FirstParagraph"/>
      </w:pPr>
      <w:r>
        <w:t xml:space="preserve">GM is increasingly highlighting OnStar, Super Cruise, and connected services as a less cyclical, higher-margin revenue stream. In Q1, recognized digital-services revenue exceeded</w:t>
      </w:r>
      <w:r>
        <w:t xml:space="preserve"> </w:t>
      </w:r>
      <m:oMath>
        <m:r>
          <m:t>750</m:t>
        </m:r>
        <m:r>
          <m:t>m</m:t>
        </m:r>
        <m:r>
          <m:t>i</m:t>
        </m:r>
        <m:r>
          <m:t>l</m:t>
        </m:r>
        <m:r>
          <m:t>l</m:t>
        </m:r>
        <m:r>
          <m:t>i</m:t>
        </m:r>
        <m:r>
          <m:t>o</m:t>
        </m:r>
        <m:r>
          <m:t>n</m:t>
        </m:r>
        <m:r>
          <m:rPr>
            <m:sty m:val="p"/>
          </m:rPr>
          <m:t>*</m:t>
        </m:r>
        <m:r>
          <m:rPr>
            <m:sty m:val="p"/>
          </m:rPr>
          <m:t>*</m:t>
        </m:r>
        <m:r>
          <m:rPr>
            <m:sty m:val="p"/>
          </m:rPr>
          <m:t>,</m:t>
        </m:r>
        <m:r>
          <m:t>u</m:t>
        </m:r>
        <m:r>
          <m:t>p</m:t>
        </m:r>
        <m:r>
          <m:t>m</m:t>
        </m:r>
        <m:r>
          <m:t>o</m:t>
        </m:r>
        <m:r>
          <m:t>r</m:t>
        </m:r>
        <m:r>
          <m:t>e</m:t>
        </m:r>
        <m:r>
          <m:t>t</m:t>
        </m:r>
        <m:r>
          <m:t>h</m:t>
        </m:r>
        <m:r>
          <m:t>a</m:t>
        </m:r>
        <m:r>
          <m:t>n</m:t>
        </m:r>
        <m:r>
          <m:t>20</m:t>
        </m:r>
      </m:oMath>
      <w:r>
        <w:rPr>
          <w:b/>
          <w:bCs/>
        </w:rPr>
        <w:t xml:space="preserve">3.1 billion</w:t>
      </w:r>
      <w:r>
        <w:t xml:space="preserve"> </w:t>
      </w:r>
      <w:r>
        <w:t xml:space="preserve">for 2026 and targets approximately</w:t>
      </w:r>
      <w:r>
        <w:t xml:space="preserve"> </w:t>
      </w:r>
      <w:r>
        <w:rPr>
          <w:b/>
          <w:bCs/>
        </w:rPr>
        <w:t xml:space="preserve">13 million subscribers</w:t>
      </w:r>
      <w:r>
        <w:t xml:space="preserve"> </w:t>
      </w:r>
      <w:r>
        <w:t xml:space="preserve">by year-end.</w:t>
      </w:r>
    </w:p>
    <w:p>
      <w:pPr>
        <w:pStyle w:val="BodyText"/>
      </w:pPr>
      <w:r>
        <w:t xml:space="preserve">This will not determine the immediate earnings reaction, but sustained growth in subscriber count, attachment, renewal, deferred revenue, and ARPU would reinforce the longer-term argument that GM’s earnings mix is improving.</w:t>
      </w:r>
    </w:p>
    <w:p>
      <w:r>
        <w:pict>
          <v:rect style="width:0;height:1.5pt" o:hralign="center" o:hrstd="t" o:hr="t"/>
        </w:pict>
      </w:r>
    </w:p>
    <w:bookmarkEnd w:id="20"/>
    <w:bookmarkEnd w:id="21"/>
    <w:bookmarkStart w:id="22" w:name="potential-catalysts"/>
    <w:p>
      <w:pPr>
        <w:pStyle w:val="Heading2"/>
      </w:pPr>
      <w:r>
        <w:t xml:space="preserve">Potential catalysts</w:t>
      </w:r>
    </w:p>
    <w:p>
      <w:pPr>
        <w:pStyle w:val="Compact"/>
        <w:numPr>
          <w:ilvl w:val="0"/>
          <w:numId w:val="1010"/>
        </w:numPr>
      </w:pPr>
      <w:r>
        <w:rPr>
          <w:b/>
          <w:bCs/>
        </w:rPr>
        <w:t xml:space="preserve">Guidance maintained or raised</w:t>
      </w:r>
      <w:r>
        <w:t xml:space="preserve"> </w:t>
      </w:r>
      <w:r>
        <w:t xml:space="preserve">while tariffs and commodity assumptions remain unchanged.</w:t>
      </w:r>
    </w:p>
    <w:p>
      <w:pPr>
        <w:pStyle w:val="Compact"/>
        <w:numPr>
          <w:ilvl w:val="0"/>
          <w:numId w:val="1010"/>
        </w:numPr>
      </w:pPr>
      <w:r>
        <w:t xml:space="preserve">GMNA margin holds near or above the company’s 8%–10% full-year target on a normalized basis.</w:t>
      </w:r>
    </w:p>
    <w:p>
      <w:pPr>
        <w:pStyle w:val="Compact"/>
        <w:numPr>
          <w:ilvl w:val="0"/>
          <w:numId w:val="1010"/>
        </w:numPr>
      </w:pPr>
      <w:r>
        <w:t xml:space="preserve">Inventory recovery supports volume and share</w:t>
      </w:r>
      <w:r>
        <w:t xml:space="preserve"> </w:t>
      </w:r>
      <w:r>
        <w:rPr>
          <w:b/>
          <w:bCs/>
        </w:rPr>
        <w:t xml:space="preserve">without</w:t>
      </w:r>
      <w:r>
        <w:t xml:space="preserve"> </w:t>
      </w:r>
      <w:r>
        <w:t xml:space="preserve">a material increase in incentives.</w:t>
      </w:r>
    </w:p>
    <w:p>
      <w:pPr>
        <w:pStyle w:val="Compact"/>
        <w:numPr>
          <w:ilvl w:val="0"/>
          <w:numId w:val="1010"/>
        </w:numPr>
      </w:pPr>
      <w:r>
        <w:t xml:space="preserve">EV restructuring cash payments are largely behind the company after Q2.</w:t>
      </w:r>
    </w:p>
    <w:p>
      <w:pPr>
        <w:pStyle w:val="Compact"/>
        <w:numPr>
          <w:ilvl w:val="0"/>
          <w:numId w:val="1010"/>
        </w:numPr>
      </w:pPr>
      <w:r>
        <w:t xml:space="preserve">Better-than-feared international results, particularly in China and the Middle East.</w:t>
      </w:r>
    </w:p>
    <w:p>
      <w:pPr>
        <w:pStyle w:val="Compact"/>
        <w:numPr>
          <w:ilvl w:val="0"/>
          <w:numId w:val="1010"/>
        </w:numPr>
      </w:pPr>
      <w:r>
        <w:t xml:space="preserve">Further repurchase activity; GM finished Q1 with</w:t>
      </w:r>
      <w:r>
        <w:t xml:space="preserve"> </w:t>
      </w:r>
      <w:r>
        <w:rPr>
          <w:b/>
          <w:bCs/>
        </w:rPr>
        <w:t xml:space="preserve">$5.5 billion</w:t>
      </w:r>
      <w:r>
        <w:t xml:space="preserve"> </w:t>
      </w:r>
      <w:r>
        <w:t xml:space="preserve">remaining under its share-repurchase authorization after buying back $800 million of stock during the quarter.</w:t>
      </w:r>
    </w:p>
    <w:bookmarkEnd w:id="22"/>
    <w:bookmarkStart w:id="23" w:name="principal-downside-risks"/>
    <w:p>
      <w:pPr>
        <w:pStyle w:val="Heading2"/>
      </w:pPr>
      <w:r>
        <w:t xml:space="preserve">Principal downside risks</w:t>
      </w:r>
    </w:p>
    <w:p>
      <w:pPr>
        <w:pStyle w:val="Compact"/>
        <w:numPr>
          <w:ilvl w:val="0"/>
          <w:numId w:val="1011"/>
        </w:numPr>
      </w:pPr>
      <w:r>
        <w:t xml:space="preserve">A guidance cut tied to tariffs, commodity/freight inflation, or a weaker U.S. consumer.</w:t>
      </w:r>
    </w:p>
    <w:p>
      <w:pPr>
        <w:pStyle w:val="Compact"/>
        <w:numPr>
          <w:ilvl w:val="0"/>
          <w:numId w:val="1011"/>
        </w:numPr>
      </w:pPr>
      <w:r>
        <w:t xml:space="preserve">Margin pressure from rising incentives or unfavorable truck/SUV mix.</w:t>
      </w:r>
    </w:p>
    <w:p>
      <w:pPr>
        <w:pStyle w:val="Compact"/>
        <w:numPr>
          <w:ilvl w:val="0"/>
          <w:numId w:val="1011"/>
        </w:numPr>
      </w:pPr>
      <w:r>
        <w:t xml:space="preserve">Lower-than-expected free cash flow because EV cash charges, inventory investment, or working capital persist longer than expected.</w:t>
      </w:r>
    </w:p>
    <w:p>
      <w:pPr>
        <w:pStyle w:val="Compact"/>
        <w:numPr>
          <w:ilvl w:val="0"/>
          <w:numId w:val="1011"/>
        </w:numPr>
      </w:pPr>
      <w:r>
        <w:t xml:space="preserve">Additional disruptions to Middle East operations or higher energy-related costs.</w:t>
      </w:r>
    </w:p>
    <w:p>
      <w:pPr>
        <w:pStyle w:val="Compact"/>
        <w:numPr>
          <w:ilvl w:val="0"/>
          <w:numId w:val="1011"/>
        </w:numPr>
      </w:pPr>
      <w:r>
        <w:t xml:space="preserve">Renewed losses, restructuring charges, or weaker share in China.</w:t>
      </w:r>
    </w:p>
    <w:p>
      <w:pPr>
        <w:pStyle w:val="Compact"/>
        <w:numPr>
          <w:ilvl w:val="0"/>
          <w:numId w:val="1011"/>
        </w:numPr>
      </w:pPr>
      <w:r>
        <w:t xml:space="preserve">Deteriorating credit performance or residual-value pressure at GM Financial.</w:t>
      </w:r>
    </w:p>
    <w:p>
      <w:r>
        <w:pict>
          <v:rect style="width:0;height:1.5pt" o:hralign="center" o:hrstd="t" o:hr="t"/>
        </w:pict>
      </w:r>
    </w:p>
    <w:bookmarkEnd w:id="23"/>
    <w:bookmarkStart w:id="24" w:name="what-matters-most-on-the-call"/>
    <w:p>
      <w:pPr>
        <w:pStyle w:val="Heading2"/>
      </w:pPr>
      <w:r>
        <w:t xml:space="preserve">What matters most on the call</w:t>
      </w:r>
    </w:p>
    <w:p>
      <w:pPr>
        <w:pStyle w:val="Compact"/>
        <w:numPr>
          <w:ilvl w:val="0"/>
          <w:numId w:val="1012"/>
        </w:numPr>
      </w:pPr>
      <w:r>
        <w:rPr>
          <w:b/>
          <w:bCs/>
        </w:rPr>
        <w:t xml:space="preserve">Does GM reaffirm the</w:t>
      </w:r>
      <w:r>
        <w:rPr>
          <w:b/>
          <w:bCs/>
        </w:rPr>
        <w:t xml:space="preserve"> </w:t>
      </w:r>
      <m:oMath>
        <m:r>
          <m:t>13.5</m:t>
        </m:r>
        <m:r>
          <m:rPr>
            <m:sty m:val="p"/>
          </m:rPr>
          <m:t>–</m:t>
        </m:r>
      </m:oMath>
      <w:r>
        <w:rPr>
          <w:b/>
          <w:bCs/>
        </w:rPr>
        <w:t xml:space="preserve">15.5B EBIT-adjusted range and</w:t>
      </w:r>
      <w:r>
        <w:rPr>
          <w:b/>
          <w:bCs/>
        </w:rPr>
        <w:t xml:space="preserve"> </w:t>
      </w:r>
      <m:oMath>
        <m:r>
          <m:t>9</m:t>
        </m:r>
        <m:r>
          <m:rPr>
            <m:sty m:val="p"/>
          </m:rPr>
          <m:t>–</m:t>
        </m:r>
      </m:oMath>
      <w:r>
        <w:rPr>
          <w:b/>
          <w:bCs/>
        </w:rPr>
        <w:t xml:space="preserve">11B FCF range?</w:t>
      </w:r>
    </w:p>
    <w:p>
      <w:pPr>
        <w:pStyle w:val="Compact"/>
        <w:numPr>
          <w:ilvl w:val="0"/>
          <w:numId w:val="1012"/>
        </w:numPr>
      </w:pPr>
      <w:r>
        <w:rPr>
          <w:b/>
          <w:bCs/>
        </w:rPr>
        <w:t xml:space="preserve">What was Q2 GMNA margin excluding unusual tariff/accounting effects?</w:t>
      </w:r>
    </w:p>
    <w:p>
      <w:pPr>
        <w:pStyle w:val="Compact"/>
        <w:numPr>
          <w:ilvl w:val="0"/>
          <w:numId w:val="1012"/>
        </w:numPr>
      </w:pPr>
      <w:r>
        <w:rPr>
          <w:b/>
          <w:bCs/>
        </w:rPr>
        <w:t xml:space="preserve">How much of tariff and commodity pressure has been offset—and how much is still ahead in 2H26?</w:t>
      </w:r>
    </w:p>
    <w:p>
      <w:pPr>
        <w:pStyle w:val="Compact"/>
        <w:numPr>
          <w:ilvl w:val="0"/>
          <w:numId w:val="1012"/>
        </w:numPr>
      </w:pPr>
      <w:r>
        <w:rPr>
          <w:b/>
          <w:bCs/>
        </w:rPr>
        <w:t xml:space="preserve">Did U.S. inventory, truck availability, and retail share improve without a step-up in incentives?</w:t>
      </w:r>
    </w:p>
    <w:p>
      <w:pPr>
        <w:pStyle w:val="Compact"/>
        <w:numPr>
          <w:ilvl w:val="0"/>
          <w:numId w:val="1012"/>
        </w:numPr>
      </w:pPr>
      <w:r>
        <w:rPr>
          <w:b/>
          <w:bCs/>
        </w:rPr>
        <w:t xml:space="preserve">Are EV restructuring cash costs substantially complete after Q2?</w:t>
      </w:r>
    </w:p>
    <w:p>
      <w:pPr>
        <w:pStyle w:val="Compact"/>
        <w:numPr>
          <w:ilvl w:val="0"/>
          <w:numId w:val="1012"/>
        </w:numPr>
      </w:pPr>
      <w:r>
        <w:rPr>
          <w:b/>
          <w:bCs/>
        </w:rPr>
        <w:t xml:space="preserve">Is GM Financial’s credit and residual outlook still stable?</w:t>
      </w:r>
    </w:p>
    <w:p>
      <w:pPr>
        <w:pStyle w:val="Compact"/>
        <w:numPr>
          <w:ilvl w:val="0"/>
          <w:numId w:val="1012"/>
        </w:numPr>
      </w:pPr>
      <w:r>
        <w:rPr>
          <w:b/>
          <w:bCs/>
        </w:rPr>
        <w:t xml:space="preserve">Can China remain a durable contributor rather than merely a break-even operation?</w:t>
      </w:r>
    </w:p>
    <w:bookmarkEnd w:id="24"/>
    <w:bookmarkStart w:id="25" w:name="investor-takeaway"/>
    <w:p>
      <w:pPr>
        <w:pStyle w:val="Heading2"/>
      </w:pPr>
      <w:r>
        <w:t xml:space="preserve">Investor takeaway</w:t>
      </w:r>
    </w:p>
    <w:p>
      <w:pPr>
        <w:pStyle w:val="FirstParagraph"/>
      </w:pPr>
      <w:r>
        <w:t xml:space="preserve">GM’s Q2 report is best viewed as a</w:t>
      </w:r>
      <w:r>
        <w:t xml:space="preserve"> </w:t>
      </w:r>
      <w:r>
        <w:rPr>
          <w:b/>
          <w:bCs/>
        </w:rPr>
        <w:t xml:space="preserve">test of earnings quality and cash-flow credibility</w:t>
      </w:r>
      <w:r>
        <w:t xml:space="preserve">, not merely a quarterly EPS event. The company has demonstrated that it can generate strong North American profits under difficult conditions, and its valuation remains low relative to its guided earnings power. But investors need confirmation that the Q1 outperformance was not primarily timing- and accounting-driven, that tariffs and input inflation are contained, and that EV restructuring is transitioning from a cash drag to a resolved legacy issue.</w:t>
      </w:r>
    </w:p>
    <w:p>
      <w:pPr>
        <w:pStyle w:val="BodyText"/>
      </w:pPr>
      <w:r>
        <w:t xml:space="preserve">A clean guide reaffirmation, disciplined incentives, normalized GMNA margins, and credible free-cash-flow commentary would likely be enough to support a constructive reaction. Conversely, any suggestion that cost pressures are accelerating or that the FCF recovery is slipping deeper into the future could outweigh an otherwise solid headline quarter.</w:t>
      </w:r>
    </w:p>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2026-07-21T00:19:45Z</dcterms:created>
  <dcterms:modified xsi:type="dcterms:W3CDTF">2026-07-21T00:19:45Z</dcterms:modified>
</cp:coreProperties>
</file>

<file path=docProps/custom.xml><?xml version="1.0" encoding="utf-8"?>
<Properties xmlns="http://schemas.openxmlformats.org/officeDocument/2006/custom-properties" xmlns:vt="http://schemas.openxmlformats.org/officeDocument/2006/docPropsVTypes"/>
</file>