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General Motors (GM)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Ticker</w:t>
            </w:r>
          </w:p>
        </w:tc>
        <w:tc>
          <w:tcPr>
            <w:tcW w:type="dxa" w:w="4320"/>
          </w:tcPr>
          <w:p>
            <w:r>
              <w:rPr>
                <w:rFonts w:ascii="Calibri" w:hAnsi="Calibri"/>
                <w:sz w:val="22"/>
              </w:rPr>
              <w:t>GM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July 21, 2026 — Before Market Open</w:t>
            </w:r>
          </w:p>
        </w:tc>
      </w:tr>
      <w:tr>
        <w:tc>
          <w:tcPr>
            <w:tcW w:type="dxa" w:w="4320"/>
          </w:tcPr>
          <w:p>
            <w:r>
              <w:rPr>
                <w:rFonts w:ascii="Calibri" w:hAnsi="Calibri"/>
                <w:b/>
                <w:sz w:val="22"/>
              </w:rPr>
              <w:t>Prepared</w:t>
            </w:r>
          </w:p>
        </w:tc>
        <w:tc>
          <w:tcPr>
            <w:tcW w:type="dxa" w:w="4320"/>
          </w:tcPr>
          <w:p>
            <w:r>
              <w:rPr>
                <w:rFonts w:ascii="Calibri" w:hAnsi="Calibri"/>
                <w:sz w:val="22"/>
              </w:rPr>
              <w:t>July 20, 2026</w:t>
            </w:r>
          </w:p>
        </w:tc>
      </w:tr>
      <w:tr>
        <w:tc>
          <w:tcPr>
            <w:tcW w:type="dxa" w:w="4320"/>
          </w:tcPr>
          <w:p>
            <w:r>
              <w:rPr>
                <w:rFonts w:ascii="Calibri" w:hAnsi="Calibri"/>
                <w:b/>
                <w:sz w:val="22"/>
              </w:rPr>
              <w:t>Last Reported</w:t>
            </w:r>
          </w:p>
        </w:tc>
        <w:tc>
          <w:tcPr>
            <w:tcW w:type="dxa" w:w="4320"/>
          </w:tcPr>
          <w:p>
            <w:r>
              <w:rPr>
                <w:rFonts w:ascii="Calibri" w:hAnsi="Calibri"/>
                <w:sz w:val="22"/>
              </w:rPr>
              <w:t>Q1 2026 — April 28, 2026 (beat on EPS and revenue)</w:t>
            </w:r>
          </w:p>
        </w:tc>
      </w:tr>
      <w:tr>
        <w:tc>
          <w:tcPr>
            <w:tcW w:type="dxa" w:w="4320"/>
          </w:tcPr>
          <w:p>
            <w:r>
              <w:rPr>
                <w:rFonts w:ascii="Calibri" w:hAnsi="Calibri"/>
                <w:b/>
                <w:sz w:val="22"/>
              </w:rPr>
              <w:t>Consensus EPS (Q2 2026)</w:t>
            </w:r>
          </w:p>
        </w:tc>
        <w:tc>
          <w:tcPr>
            <w:tcW w:type="dxa" w:w="4320"/>
          </w:tcPr>
          <w:p>
            <w:r>
              <w:rPr>
                <w:rFonts w:ascii="Calibri" w:hAnsi="Calibri"/>
                <w:sz w:val="22"/>
              </w:rPr>
              <w:t>~$3.13–$3.20 (various sources)</w:t>
            </w:r>
          </w:p>
        </w:tc>
      </w:tr>
      <w:tr>
        <w:tc>
          <w:tcPr>
            <w:tcW w:type="dxa" w:w="4320"/>
          </w:tcPr>
          <w:p>
            <w:r>
              <w:rPr>
                <w:rFonts w:ascii="Calibri" w:hAnsi="Calibri"/>
                <w:b/>
                <w:sz w:val="22"/>
              </w:rPr>
              <w:t>Consensus Revenue (Q2 2026)</w:t>
            </w:r>
          </w:p>
        </w:tc>
        <w:tc>
          <w:tcPr>
            <w:tcW w:type="dxa" w:w="4320"/>
          </w:tcPr>
          <w:p>
            <w:r>
              <w:rPr>
                <w:rFonts w:ascii="Calibri" w:hAnsi="Calibri"/>
                <w:sz w:val="22"/>
              </w:rPr>
              <w:t>~$46.7B</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a moderate beat, with the single biggest swing factor being whether North America EBIT-adjusted margins can hold in the 8–10% target range without the one-time IIPA tariff tailwind that inflated Q1.</w:t>
      </w:r>
    </w:p>
    <w:p>
      <w:r>
        <w:rPr>
          <w:rFonts w:ascii="Calibri" w:hAnsi="Calibri"/>
          <w:color w:val="525866"/>
          <w:sz w:val="22"/>
        </w:rPr>
        <w:t xml:space="preserve">Heading into Q2 2026, the bar for GM is meaningfully higher than it was a quarter ago — consensus EPS of ~$3.13–$3.20 implies a step-down from Q1’s extraordinary $3.70 print, but still represents solid year-over-year growth from Q2 2025’s $2.53 actual. Management’s posture since the April 28 earnings call has been </w:t>
      </w:r>
      <w:r>
        <w:rPr>
          <w:rFonts w:ascii="Calibri" w:hAnsi="Calibri"/>
          <w:b/>
          <w:color w:val="525866"/>
          <w:sz w:val="22"/>
        </w:rPr>
        <w:t>cautiously confident</w:t>
      </w:r>
      <w:r>
        <w:rPr>
          <w:rFonts w:ascii="Calibri" w:hAnsi="Calibri"/>
          <w:color w:val="525866"/>
          <w:sz w:val="22"/>
        </w:rPr>
        <w:t xml:space="preserve">: full-year EBIT-adjusted guidance was raised to $13.5–$15.5B (from $13–$15B), but the raise was explicitly tied to the ~$500M IIPA tariff adjustment, and management declined to raise further, citing the </w:t>
      </w:r>
      <w:r>
        <w:rPr>
          <w:rFonts w:ascii="Calibri" w:hAnsi="Calibri"/>
          <w:b/>
          <w:color w:val="525866"/>
          <w:sz w:val="22"/>
        </w:rPr>
        <w:t>Iran conflict</w:t>
      </w:r>
      <w:r>
        <w:rPr>
          <w:rFonts w:ascii="Calibri" w:hAnsi="Calibri"/>
          <w:color w:val="525866"/>
          <w:sz w:val="22"/>
        </w:rPr>
        <w:t xml:space="preserve"> as a new macro headwind driving commodity and freight cost inflation. Estimate revisions have been broadly stable-to-slightly-positive since Q1, with the FY2026 EPS consensus around $12.86 — consistent with the guidance midpoint of $12.50 — suggesting the Street is largely in line with management’s framework. The stock has given back its post-earnings gains, trading at ~$75.80 (down ~4% from the April 28 close of $78.95) and well off its May 28 peak of $84.35, meaning the stock is not pricing in a beat and the multiple remains deeply discounted at roughly 6x forward earnings. The key wildcard is </w:t>
      </w:r>
      <w:r>
        <w:rPr>
          <w:rFonts w:ascii="Calibri" w:hAnsi="Calibri"/>
          <w:b/>
          <w:color w:val="525866"/>
          <w:sz w:val="22"/>
        </w:rPr>
        <w:t>full-size pickup production normalization</w:t>
      </w:r>
      <w:r>
        <w:rPr>
          <w:rFonts w:ascii="Calibri" w:hAnsi="Calibri"/>
          <w:color w:val="525866"/>
          <w:sz w:val="22"/>
        </w:rPr>
        <w:t>: Q1 was constrained by heavy-duty truck downtime, and management guided that this headwind is “largely behind us” — a meaningful volume recovery in GMNA in Q2 could be the upside catalyst that drives a beat on both revenue and EBIT margin.</w:t>
      </w:r>
    </w:p>
    <w:p>
      <w:pPr>
        <w:pStyle w:val="ListBullet"/>
        <w:ind w:left="360" w:hanging="360"/>
      </w:pPr>
      <w:r>
        <w:rPr>
          <w:rFonts w:ascii="Calibri" w:hAnsi="Calibri"/>
          <w:b/>
          <w:color w:val="525866"/>
          <w:sz w:val="22"/>
        </w:rPr>
        <w:t xml:space="preserve">Bar: </w:t>
      </w:r>
      <w:r>
        <w:rPr>
          <w:rFonts w:ascii="Calibri" w:hAnsi="Calibri"/>
          <w:color w:val="525866"/>
          <w:sz w:val="22"/>
        </w:rPr>
        <w:t>Consensus EPS of ~$3.13–$3.20 is a moderate bar — above Q2 2025’s $2.53 actual but well below Q1 2026’s $3.70 (which included a one-time tariff benefit). The revenue bar of ~$46.7B is achievable given Q2 is seasonally stronger than Q1 and pickup production is expected to normalize.</w:t>
      </w:r>
    </w:p>
    <w:p>
      <w:pPr>
        <w:pStyle w:val="ListBullet"/>
        <w:ind w:left="360" w:hanging="360"/>
      </w:pPr>
      <w:r>
        <w:rPr>
          <w:rFonts w:ascii="Calibri" w:hAnsi="Calibri"/>
          <w:b/>
          <w:color w:val="525866"/>
          <w:sz w:val="22"/>
        </w:rPr>
        <w:t xml:space="preserve">Guidance/Tone: </w:t>
      </w:r>
      <w:r>
        <w:rPr>
          <w:rFonts w:ascii="Calibri" w:hAnsi="Calibri"/>
          <w:color w:val="525866"/>
          <w:sz w:val="22"/>
        </w:rPr>
        <w:t>Management’s tone since Q1 earnings has been measured and wait-and-see. The Iran conflict was flagged as the primary uncertainty; no incremental guidance changes have been made since April 28. The company reiterated 8–10% North America EBIT-adjusted margins for the full year.</w:t>
      </w:r>
    </w:p>
    <w:p>
      <w:pPr>
        <w:pStyle w:val="ListBullet"/>
        <w:ind w:left="360" w:hanging="360"/>
      </w:pPr>
      <w:r>
        <w:rPr>
          <w:rFonts w:ascii="Calibri" w:hAnsi="Calibri"/>
          <w:b/>
          <w:color w:val="525866"/>
          <w:sz w:val="22"/>
        </w:rPr>
        <w:t xml:space="preserve">Estimate Trajectory: </w:t>
      </w:r>
      <w:r>
        <w:rPr>
          <w:rFonts w:ascii="Calibri" w:hAnsi="Calibri"/>
          <w:color w:val="525866"/>
          <w:sz w:val="22"/>
        </w:rPr>
        <w:t>FY2026 EPS consensus of ~$12.86 sits above the guidance midpoint of $12.50, suggesting the Street is slightly more optimistic than management’s stated range. Revisions have been broadly stable since Q1, with no meaningful downward drift — a constructive signal.</w:t>
      </w:r>
    </w:p>
    <w:p>
      <w:pPr>
        <w:pStyle w:val="ListBullet"/>
        <w:ind w:left="360" w:hanging="360"/>
      </w:pPr>
      <w:r>
        <w:rPr>
          <w:rFonts w:ascii="Calibri" w:hAnsi="Calibri"/>
          <w:b/>
          <w:color w:val="525866"/>
          <w:sz w:val="22"/>
        </w:rPr>
        <w:t xml:space="preserve">Stock Setup: </w:t>
      </w:r>
      <w:r>
        <w:rPr>
          <w:rFonts w:ascii="Calibri" w:hAnsi="Calibri"/>
          <w:color w:val="525866"/>
          <w:sz w:val="22"/>
        </w:rPr>
        <w:t>GM trades at ~$75.80, down ~4% from the Q1 earnings close and ~10% off the May peak. At ~6x forward earnings, the stock is pricing in neither a beat nor a miss — it is simply cheap. The XLY ETF is also down ~2% since Q1 earnings, suggesting sector-level pressure rather than GM-specific weakness.</w:t>
      </w:r>
    </w:p>
    <w:p>
      <w:pPr>
        <w:pStyle w:val="ListBullet"/>
        <w:ind w:left="360" w:hanging="360"/>
      </w:pPr>
      <w:r>
        <w:rPr>
          <w:rFonts w:ascii="Calibri" w:hAnsi="Calibri"/>
          <w:b/>
          <w:color w:val="525866"/>
          <w:sz w:val="22"/>
        </w:rPr>
        <w:t xml:space="preserve">Wildcard: </w:t>
      </w:r>
      <w:r>
        <w:rPr>
          <w:rFonts w:ascii="Calibri" w:hAnsi="Calibri"/>
          <w:color w:val="525866"/>
          <w:sz w:val="22"/>
        </w:rPr>
        <w:t>Full-size pickup production recovery. Q1 was constrained by heavy-duty truck downtime and lean inventory (47 days of supply entering Q2). Management guided that downtime is “largely behind us” — if GMNA volumes recover sharply in Q2, both revenue and EBIT margin could surprise to the upside. Conversely, any escalation in Iran conflict-driven commodity costs or a SAAR miss below the low-16M unit assumption would be the primary downside risk.</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achievable bar — the bigger swing factor is </w:t>
      </w:r>
      <w:r>
        <w:rPr>
          <w:rFonts w:ascii="Calibri" w:hAnsi="Calibri"/>
          <w:b/>
          <w:color w:val="525866"/>
          <w:sz w:val="22"/>
        </w:rPr>
        <w:t>North America EBIT-adjusted margin</w:t>
      </w:r>
      <w:r>
        <w:rPr>
          <w:rFonts w:ascii="Calibri" w:hAnsi="Calibri"/>
          <w:color w:val="525866"/>
          <w:sz w:val="22"/>
        </w:rPr>
        <w:t>, where the Street expects ~$3.23B (vs. $3.66B in Q1 which included the tariff benefit). A clean 8%+ GMNA margin without one-time items would be the most important signal for the full-year thesis.</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 ($B)</w:t>
            </w:r>
          </w:p>
        </w:tc>
        <w:tc>
          <w:tcPr>
            <w:tcW w:type="dxa" w:w="1234"/>
          </w:tcPr>
          <w:p>
            <w:r>
              <w:rPr>
                <w:rFonts w:ascii="Calibri" w:hAnsi="Calibri"/>
                <w:sz w:val="22"/>
              </w:rPr>
              <w:t>$43.6B</w:t>
            </w:r>
          </w:p>
        </w:tc>
        <w:tc>
          <w:tcPr>
            <w:tcW w:type="dxa" w:w="1234"/>
          </w:tcPr>
          <w:p>
            <w:r>
              <w:rPr>
                <w:rFonts w:ascii="Calibri" w:hAnsi="Calibri"/>
                <w:sz w:val="22"/>
              </w:rPr>
              <w:t>$47.1B</w:t>
            </w:r>
          </w:p>
        </w:tc>
        <w:tc>
          <w:tcPr>
            <w:tcW w:type="dxa" w:w="1234"/>
          </w:tcPr>
          <w:p>
            <w:r>
              <w:rPr>
                <w:rFonts w:ascii="Calibri" w:hAnsi="Calibri"/>
                <w:sz w:val="22"/>
              </w:rPr>
              <w:t>$46.7B</w:t>
            </w:r>
          </w:p>
        </w:tc>
        <w:tc>
          <w:tcPr>
            <w:tcW w:type="dxa" w:w="1234"/>
          </w:tcPr>
          <w:p>
            <w:r>
              <w:rPr>
                <w:rFonts w:ascii="Calibri" w:hAnsi="Calibri"/>
                <w:sz w:val="22"/>
              </w:rPr>
              <w:t>-0.9% YoY</w:t>
            </w:r>
          </w:p>
        </w:tc>
        <w:tc>
          <w:tcPr>
            <w:tcW w:type="dxa" w:w="1234"/>
          </w:tcPr>
          <w:p>
            <w:r>
              <w:rPr>
                <w:rFonts w:ascii="Calibri" w:hAnsi="Calibri"/>
                <w:sz w:val="22"/>
              </w:rPr>
              <w:t>~$185B FY</w:t>
            </w:r>
          </w:p>
        </w:tc>
        <w:tc>
          <w:tcPr>
            <w:tcW w:type="dxa" w:w="1234"/>
          </w:tcPr>
          <w:p>
            <w:r>
              <w:rPr>
                <w:rFonts w:ascii="Calibri" w:hAnsi="Calibri"/>
                <w:sz w:val="22"/>
              </w:rPr>
              <w:t>~+1% vs. implied run-rate</w:t>
            </w:r>
          </w:p>
        </w:tc>
      </w:tr>
      <w:tr>
        <w:tc>
          <w:tcPr>
            <w:tcW w:type="dxa" w:w="1234"/>
          </w:tcPr>
          <w:p>
            <w:r>
              <w:rPr>
                <w:rFonts w:ascii="Calibri" w:hAnsi="Calibri"/>
                <w:sz w:val="22"/>
              </w:rPr>
              <w:t>Adj. EPS (Diluted Operating)</w:t>
            </w:r>
          </w:p>
        </w:tc>
        <w:tc>
          <w:tcPr>
            <w:tcW w:type="dxa" w:w="1234"/>
          </w:tcPr>
          <w:p>
            <w:r>
              <w:rPr>
                <w:rFonts w:ascii="Calibri" w:hAnsi="Calibri"/>
                <w:sz w:val="22"/>
              </w:rPr>
              <w:t>$3.70</w:t>
            </w:r>
          </w:p>
        </w:tc>
        <w:tc>
          <w:tcPr>
            <w:tcW w:type="dxa" w:w="1234"/>
          </w:tcPr>
          <w:p>
            <w:r>
              <w:rPr>
                <w:rFonts w:ascii="Calibri" w:hAnsi="Calibri"/>
                <w:sz w:val="22"/>
              </w:rPr>
              <w:t>$2.53</w:t>
            </w:r>
          </w:p>
        </w:tc>
        <w:tc>
          <w:tcPr>
            <w:tcW w:type="dxa" w:w="1234"/>
          </w:tcPr>
          <w:p>
            <w:r>
              <w:rPr>
                <w:rFonts w:ascii="Calibri" w:hAnsi="Calibri"/>
                <w:sz w:val="22"/>
              </w:rPr>
              <w:t>~$3.20</w:t>
            </w:r>
          </w:p>
        </w:tc>
        <w:tc>
          <w:tcPr>
            <w:tcW w:type="dxa" w:w="1234"/>
          </w:tcPr>
          <w:p>
            <w:r>
              <w:rPr>
                <w:rFonts w:ascii="Calibri" w:hAnsi="Calibri"/>
                <w:b/>
                <w:color w:val="30A46C"/>
                <w:sz w:val="22"/>
              </w:rPr>
              <w:t>+26.5% YoY</w:t>
            </w:r>
          </w:p>
        </w:tc>
        <w:tc>
          <w:tcPr>
            <w:tcW w:type="dxa" w:w="1234"/>
          </w:tcPr>
          <w:p>
            <w:r>
              <w:rPr>
                <w:rFonts w:ascii="Calibri" w:hAnsi="Calibri"/>
                <w:sz w:val="22"/>
              </w:rPr>
              <w:t>$11.50–$13.50 FY</w:t>
            </w:r>
          </w:p>
        </w:tc>
        <w:tc>
          <w:tcPr>
            <w:tcW w:type="dxa" w:w="1234"/>
          </w:tcPr>
          <w:p>
            <w:r>
              <w:rPr>
                <w:rFonts w:ascii="Calibri" w:hAnsi="Calibri"/>
                <w:sz w:val="22"/>
              </w:rPr>
              <w:t>~+2% vs. midpoint</w:t>
            </w:r>
          </w:p>
        </w:tc>
      </w:tr>
      <w:tr>
        <w:tc>
          <w:tcPr>
            <w:tcW w:type="dxa" w:w="1234"/>
          </w:tcPr>
          <w:p>
            <w:r>
              <w:rPr>
                <w:rFonts w:ascii="Calibri" w:hAnsi="Calibri"/>
                <w:sz w:val="22"/>
              </w:rPr>
              <w:t>EBIT-Adjusted ($B)</w:t>
            </w:r>
          </w:p>
        </w:tc>
        <w:tc>
          <w:tcPr>
            <w:tcW w:type="dxa" w:w="1234"/>
          </w:tcPr>
          <w:p>
            <w:r>
              <w:rPr>
                <w:rFonts w:ascii="Calibri" w:hAnsi="Calibri"/>
                <w:sz w:val="22"/>
              </w:rPr>
              <w:t>$4.25B</w:t>
            </w:r>
          </w:p>
        </w:tc>
        <w:tc>
          <w:tcPr>
            <w:tcW w:type="dxa" w:w="1234"/>
          </w:tcPr>
          <w:p>
            <w:r>
              <w:rPr>
                <w:rFonts w:ascii="Calibri" w:hAnsi="Calibri"/>
                <w:sz w:val="22"/>
              </w:rPr>
              <w:t>$3.04B</w:t>
            </w:r>
          </w:p>
        </w:tc>
        <w:tc>
          <w:tcPr>
            <w:tcW w:type="dxa" w:w="1234"/>
          </w:tcPr>
          <w:p>
            <w:r>
              <w:rPr>
                <w:rFonts w:ascii="Calibri" w:hAnsi="Calibri"/>
                <w:sz w:val="22"/>
              </w:rPr>
              <w:t>$3.59B</w:t>
            </w:r>
          </w:p>
        </w:tc>
        <w:tc>
          <w:tcPr>
            <w:tcW w:type="dxa" w:w="1234"/>
          </w:tcPr>
          <w:p>
            <w:r>
              <w:rPr>
                <w:rFonts w:ascii="Calibri" w:hAnsi="Calibri"/>
                <w:b/>
                <w:color w:val="30A46C"/>
                <w:sz w:val="22"/>
              </w:rPr>
              <w:t>+18.1% YoY</w:t>
            </w:r>
          </w:p>
        </w:tc>
        <w:tc>
          <w:tcPr>
            <w:tcW w:type="dxa" w:w="1234"/>
          </w:tcPr>
          <w:p>
            <w:r>
              <w:rPr>
                <w:rFonts w:ascii="Calibri" w:hAnsi="Calibri"/>
                <w:sz w:val="22"/>
              </w:rPr>
              <w:t>$13.5–$15.5B FY</w:t>
            </w:r>
          </w:p>
        </w:tc>
        <w:tc>
          <w:tcPr>
            <w:tcW w:type="dxa" w:w="1234"/>
          </w:tcPr>
          <w:p>
            <w:r>
              <w:rPr>
                <w:rFonts w:ascii="Calibri" w:hAnsi="Calibri"/>
                <w:sz w:val="22"/>
              </w:rPr>
              <w:t>~+2% vs. midpoint</w:t>
            </w:r>
          </w:p>
        </w:tc>
      </w:tr>
      <w:tr>
        <w:tc>
          <w:tcPr>
            <w:tcW w:type="dxa" w:w="1234"/>
          </w:tcPr>
          <w:p>
            <w:r>
              <w:rPr>
                <w:rFonts w:ascii="Calibri" w:hAnsi="Calibri"/>
                <w:sz w:val="22"/>
              </w:rPr>
              <w:t>GMNA EBIT-Adjusted ($B)</w:t>
            </w:r>
          </w:p>
        </w:tc>
        <w:tc>
          <w:tcPr>
            <w:tcW w:type="dxa" w:w="1234"/>
          </w:tcPr>
          <w:p>
            <w:r>
              <w:rPr>
                <w:rFonts w:ascii="Calibri" w:hAnsi="Calibri"/>
                <w:sz w:val="22"/>
              </w:rPr>
              <w:t>$3.66B (10.1% margin incl. tariff adj.)</w:t>
            </w:r>
          </w:p>
        </w:tc>
        <w:tc>
          <w:tcPr>
            <w:tcW w:type="dxa" w:w="1234"/>
          </w:tcPr>
          <w:p>
            <w:r>
              <w:rPr>
                <w:rFonts w:ascii="Calibri" w:hAnsi="Calibri"/>
                <w:sz w:val="22"/>
              </w:rPr>
              <w:t>$2.42B</w:t>
            </w:r>
          </w:p>
        </w:tc>
        <w:tc>
          <w:tcPr>
            <w:tcW w:type="dxa" w:w="1234"/>
          </w:tcPr>
          <w:p>
            <w:r>
              <w:rPr>
                <w:rFonts w:ascii="Calibri" w:hAnsi="Calibri"/>
                <w:sz w:val="22"/>
              </w:rPr>
              <w:t>$3.23B</w:t>
            </w:r>
          </w:p>
        </w:tc>
        <w:tc>
          <w:tcPr>
            <w:tcW w:type="dxa" w:w="1234"/>
          </w:tcPr>
          <w:p>
            <w:r>
              <w:rPr>
                <w:rFonts w:ascii="Calibri" w:hAnsi="Calibri"/>
                <w:b/>
                <w:color w:val="30A46C"/>
                <w:sz w:val="22"/>
              </w:rPr>
              <w:t>+33.5% YoY</w:t>
            </w:r>
          </w:p>
        </w:tc>
        <w:tc>
          <w:tcPr>
            <w:tcW w:type="dxa" w:w="1234"/>
          </w:tcPr>
          <w:p>
            <w:r>
              <w:rPr>
                <w:rFonts w:ascii="Calibri" w:hAnsi="Calibri"/>
                <w:sz w:val="22"/>
              </w:rPr>
              <w:t>8–10% margin FY</w:t>
            </w:r>
          </w:p>
        </w:tc>
        <w:tc>
          <w:tcPr>
            <w:tcW w:type="dxa" w:w="1234"/>
          </w:tcPr>
          <w:p>
            <w:r>
              <w:rPr>
                <w:rFonts w:ascii="Calibri" w:hAnsi="Calibri"/>
                <w:sz w:val="22"/>
              </w:rPr>
              <w:t>~8.3% implied margin</w:t>
            </w:r>
          </w:p>
        </w:tc>
      </w:tr>
      <w:tr>
        <w:tc>
          <w:tcPr>
            <w:tcW w:type="dxa" w:w="1234"/>
          </w:tcPr>
          <w:p>
            <w:r>
              <w:rPr>
                <w:rFonts w:ascii="Calibri" w:hAnsi="Calibri"/>
                <w:sz w:val="22"/>
              </w:rPr>
              <w:t>Adj. Auto Free Cash Flow ($B)</w:t>
            </w:r>
          </w:p>
        </w:tc>
        <w:tc>
          <w:tcPr>
            <w:tcW w:type="dxa" w:w="1234"/>
          </w:tcPr>
          <w:p>
            <w:r>
              <w:rPr>
                <w:rFonts w:ascii="Calibri" w:hAnsi="Calibri"/>
                <w:sz w:val="22"/>
              </w:rPr>
              <w:t>$1.27B</w:t>
            </w:r>
          </w:p>
        </w:tc>
        <w:tc>
          <w:tcPr>
            <w:tcW w:type="dxa" w:w="1234"/>
          </w:tcPr>
          <w:p>
            <w:r>
              <w:rPr>
                <w:rFonts w:ascii="Calibri" w:hAnsi="Calibri"/>
                <w:sz w:val="22"/>
              </w:rPr>
              <w:t>$2.83B</w:t>
            </w:r>
          </w:p>
        </w:tc>
        <w:tc>
          <w:tcPr>
            <w:tcW w:type="dxa" w:w="1234"/>
          </w:tcPr>
          <w:p>
            <w:r>
              <w:rPr>
                <w:rFonts w:ascii="Calibri" w:hAnsi="Calibri"/>
                <w:sz w:val="22"/>
              </w:rPr>
              <w:t>$3.57B</w:t>
            </w:r>
          </w:p>
        </w:tc>
        <w:tc>
          <w:tcPr>
            <w:tcW w:type="dxa" w:w="1234"/>
          </w:tcPr>
          <w:p>
            <w:r>
              <w:rPr>
                <w:rFonts w:ascii="Calibri" w:hAnsi="Calibri"/>
                <w:b/>
                <w:color w:val="30A46C"/>
                <w:sz w:val="22"/>
              </w:rPr>
              <w:t>+26.1% YoY</w:t>
            </w:r>
          </w:p>
        </w:tc>
        <w:tc>
          <w:tcPr>
            <w:tcW w:type="dxa" w:w="1234"/>
          </w:tcPr>
          <w:p>
            <w:r>
              <w:rPr>
                <w:rFonts w:ascii="Calibri" w:hAnsi="Calibri"/>
                <w:sz w:val="22"/>
              </w:rPr>
              <w:t>$9–11B FY</w:t>
            </w:r>
          </w:p>
        </w:tc>
        <w:tc>
          <w:tcPr>
            <w:tcW w:type="dxa" w:w="1234"/>
          </w:tcPr>
          <w:p>
            <w:r>
              <w:rPr>
                <w:rFonts w:ascii="Calibri" w:hAnsi="Calibri"/>
                <w:sz w:val="22"/>
              </w:rPr>
              <w:t>~+4% vs. midpoint</w:t>
            </w:r>
          </w:p>
        </w:tc>
      </w:tr>
      <w:tr>
        <w:tc>
          <w:tcPr>
            <w:tcW w:type="dxa" w:w="1234"/>
          </w:tcPr>
          <w:p>
            <w:r>
              <w:rPr>
                <w:rFonts w:ascii="Calibri" w:hAnsi="Calibri"/>
                <w:sz w:val="22"/>
              </w:rPr>
              <w:t>GMNA Revenue ($B)</w:t>
            </w:r>
          </w:p>
        </w:tc>
        <w:tc>
          <w:tcPr>
            <w:tcW w:type="dxa" w:w="1234"/>
          </w:tcPr>
          <w:p>
            <w:r>
              <w:rPr>
                <w:rFonts w:ascii="Calibri" w:hAnsi="Calibri"/>
                <w:sz w:val="22"/>
              </w:rPr>
              <w:t>$36.4B</w:t>
            </w:r>
          </w:p>
        </w:tc>
        <w:tc>
          <w:tcPr>
            <w:tcW w:type="dxa" w:w="1234"/>
          </w:tcPr>
          <w:p>
            <w:r>
              <w:rPr>
                <w:rFonts w:ascii="Calibri" w:hAnsi="Calibri"/>
                <w:sz w:val="22"/>
              </w:rPr>
              <w:t>$39.5B</w:t>
            </w:r>
          </w:p>
        </w:tc>
        <w:tc>
          <w:tcPr>
            <w:tcW w:type="dxa" w:w="1234"/>
          </w:tcPr>
          <w:p>
            <w:r>
              <w:rPr>
                <w:rFonts w:ascii="Calibri" w:hAnsi="Calibri"/>
                <w:sz w:val="22"/>
              </w:rPr>
              <w:t>$38.97B</w:t>
            </w:r>
          </w:p>
        </w:tc>
        <w:tc>
          <w:tcPr>
            <w:tcW w:type="dxa" w:w="1234"/>
          </w:tcPr>
          <w:p>
            <w:r>
              <w:rPr>
                <w:rFonts w:ascii="Calibri" w:hAnsi="Calibri"/>
                <w:sz w:val="22"/>
              </w:rPr>
              <w:t>-1.3% YoY</w:t>
            </w:r>
          </w:p>
        </w:tc>
        <w:tc>
          <w:tcPr>
            <w:tcW w:type="dxa" w:w="1234"/>
          </w:tcPr>
          <w:p>
            <w:r>
              <w:rPr>
                <w:rFonts w:ascii="Calibri" w:hAnsi="Calibri"/>
                <w:sz w:val="22"/>
              </w:rPr>
              <w:t>~$154B FY</w:t>
            </w:r>
          </w:p>
        </w:tc>
        <w:tc>
          <w:tcPr>
            <w:tcW w:type="dxa" w:w="1234"/>
          </w:tcPr>
          <w:p>
            <w:r>
              <w:rPr>
                <w:rFonts w:ascii="Calibri" w:hAnsi="Calibri"/>
                <w:sz w:val="22"/>
              </w:rPr>
              <w:t>~+1% vs. implied run-rate</w:t>
            </w:r>
          </w:p>
        </w:tc>
      </w:tr>
      <w:tr>
        <w:tc>
          <w:tcPr>
            <w:tcW w:type="dxa" w:w="1234"/>
          </w:tcPr>
          <w:p>
            <w:r>
              <w:rPr>
                <w:rFonts w:ascii="Calibri" w:hAnsi="Calibri"/>
                <w:sz w:val="22"/>
              </w:rPr>
              <w:t>GM Financial Revenue ($B)</w:t>
            </w:r>
          </w:p>
        </w:tc>
        <w:tc>
          <w:tcPr>
            <w:tcW w:type="dxa" w:w="1234"/>
          </w:tcPr>
          <w:p>
            <w:r>
              <w:rPr>
                <w:rFonts w:ascii="Calibri" w:hAnsi="Calibri"/>
                <w:sz w:val="22"/>
              </w:rPr>
              <w:t>$4.28B</w:t>
            </w:r>
          </w:p>
        </w:tc>
        <w:tc>
          <w:tcPr>
            <w:tcW w:type="dxa" w:w="1234"/>
          </w:tcPr>
          <w:p>
            <w:r>
              <w:rPr>
                <w:rFonts w:ascii="Calibri" w:hAnsi="Calibri"/>
                <w:sz w:val="22"/>
              </w:rPr>
              <w:t>$4.26B</w:t>
            </w:r>
          </w:p>
        </w:tc>
        <w:tc>
          <w:tcPr>
            <w:tcW w:type="dxa" w:w="1234"/>
          </w:tcPr>
          <w:p>
            <w:r>
              <w:rPr>
                <w:rFonts w:ascii="Calibri" w:hAnsi="Calibri"/>
                <w:sz w:val="22"/>
              </w:rPr>
              <w:t>$4.26B</w:t>
            </w:r>
          </w:p>
        </w:tc>
        <w:tc>
          <w:tcPr>
            <w:tcW w:type="dxa" w:w="1234"/>
          </w:tcPr>
          <w:p>
            <w:r>
              <w:rPr>
                <w:rFonts w:ascii="Calibri" w:hAnsi="Calibri"/>
                <w:sz w:val="22"/>
              </w:rPr>
              <w:t>+0.0% YoY</w:t>
            </w:r>
          </w:p>
        </w:tc>
        <w:tc>
          <w:tcPr>
            <w:tcW w:type="dxa" w:w="1234"/>
          </w:tcPr>
          <w:p>
            <w:r>
              <w:rPr>
                <w:rFonts w:ascii="Calibri" w:hAnsi="Calibri"/>
                <w:sz w:val="22"/>
              </w:rPr>
              <w:t>$2.5–$3.0B EBT FY</w:t>
            </w:r>
          </w:p>
        </w:tc>
        <w:tc>
          <w:tcPr>
            <w:tcW w:type="dxa" w:w="1234"/>
          </w:tcPr>
          <w:p>
            <w:r>
              <w:rPr>
                <w:rFonts w:ascii="Calibri" w:hAnsi="Calibri"/>
                <w:sz w:val="22"/>
              </w:rPr>
              <w:t>N/A (EBT metric)</w:t>
            </w:r>
          </w:p>
        </w:tc>
      </w:tr>
    </w:tbl>
    <w:p>
      <w:r>
        <w:rPr>
          <w:rFonts w:ascii="Calibri" w:hAnsi="Calibri"/>
          <w:i/>
          <w:color w:val="525866"/>
          <w:sz w:val="22"/>
        </w:rPr>
        <w:t>Sources: Visible Alpha Consensus and Actuals Data (Total Revenue, EPS Diluted - Operating, Operating income/(loss) - Operating, Operating income - GM North America - Operating, Adjusted free cash flow - Automotives, Revenue - GM North America, Revenue - GM Financial); GM Q1 2026 Earnings Press Release (April 28, 2026); MarketBeat / Zacks consensus estimates for Q2 2026.</w:t>
      </w:r>
    </w:p>
    <w:p>
      <w:pPr>
        <w:pStyle w:val="Heading3"/>
      </w:pPr>
      <w:r>
        <w:rPr>
          <w:rFonts w:ascii="Calibri" w:hAnsi="Calibri"/>
          <w:b/>
          <w:color w:val="3B4259"/>
          <w:sz w:val="24"/>
        </w:rPr>
        <w:t>Table 2 — Beat/Miss History (Last 8 Quarters — Adj. EPS &amp; EBIT-Adjusted)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Adj. EPS Reported</w:t>
            </w:r>
          </w:p>
        </w:tc>
        <w:tc>
          <w:tcPr>
            <w:tcW w:type="dxa" w:w="1080"/>
            <w:shd w:val="clear" w:color="auto" w:fill="3B4259"/>
          </w:tcPr>
          <w:p>
            <w:r>
              <w:rPr>
                <w:rFonts w:ascii="Calibri" w:hAnsi="Calibri"/>
                <w:b/>
                <w:color w:val="FFFFFF"/>
                <w:sz w:val="22"/>
              </w:rPr>
              <w:t>Adj. EPS Consensus</w:t>
            </w:r>
          </w:p>
        </w:tc>
        <w:tc>
          <w:tcPr>
            <w:tcW w:type="dxa" w:w="1080"/>
            <w:shd w:val="clear" w:color="auto" w:fill="3B4259"/>
          </w:tcPr>
          <w:p>
            <w:r>
              <w:rPr>
                <w:rFonts w:ascii="Calibri" w:hAnsi="Calibri"/>
                <w:b/>
                <w:color w:val="FFFFFF"/>
                <w:sz w:val="22"/>
              </w:rPr>
              <w:t>EPS Surprise %</w:t>
            </w:r>
          </w:p>
        </w:tc>
        <w:tc>
          <w:tcPr>
            <w:tcW w:type="dxa" w:w="1080"/>
            <w:shd w:val="clear" w:color="auto" w:fill="3B4259"/>
          </w:tcPr>
          <w:p>
            <w:r>
              <w:rPr>
                <w:rFonts w:ascii="Calibri" w:hAnsi="Calibri"/>
                <w:b/>
                <w:color w:val="FFFFFF"/>
                <w:sz w:val="22"/>
              </w:rPr>
              <w:t>EBIT-Adj. Reported ($B)</w:t>
            </w:r>
          </w:p>
        </w:tc>
        <w:tc>
          <w:tcPr>
            <w:tcW w:type="dxa" w:w="1080"/>
            <w:shd w:val="clear" w:color="auto" w:fill="3B4259"/>
          </w:tcPr>
          <w:p>
            <w:r>
              <w:rPr>
                <w:rFonts w:ascii="Calibri" w:hAnsi="Calibri"/>
                <w:b/>
                <w:color w:val="FFFFFF"/>
                <w:sz w:val="22"/>
              </w:rPr>
              <w:t>EBIT-Adj. Consensus ($B)</w:t>
            </w:r>
          </w:p>
        </w:tc>
        <w:tc>
          <w:tcPr>
            <w:tcW w:type="dxa" w:w="1080"/>
            <w:shd w:val="clear" w:color="auto" w:fill="3B4259"/>
          </w:tcPr>
          <w:p>
            <w:r>
              <w:rPr>
                <w:rFonts w:ascii="Calibri" w:hAnsi="Calibri"/>
                <w:b/>
                <w:color w:val="FFFFFF"/>
                <w:sz w:val="22"/>
              </w:rPr>
              <w:t>EBIT Surprise %</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Q1 2026</w:t>
            </w:r>
          </w:p>
        </w:tc>
        <w:tc>
          <w:tcPr>
            <w:tcW w:type="dxa" w:w="1080"/>
          </w:tcPr>
          <w:p>
            <w:r>
              <w:rPr>
                <w:rFonts w:ascii="Calibri" w:hAnsi="Calibri"/>
                <w:sz w:val="22"/>
              </w:rPr>
              <w:t>$3.70</w:t>
            </w:r>
          </w:p>
        </w:tc>
        <w:tc>
          <w:tcPr>
            <w:tcW w:type="dxa" w:w="1080"/>
          </w:tcPr>
          <w:p>
            <w:r>
              <w:rPr>
                <w:rFonts w:ascii="Calibri" w:hAnsi="Calibri"/>
                <w:sz w:val="22"/>
              </w:rPr>
              <w:t>$2.61</w:t>
            </w:r>
          </w:p>
        </w:tc>
        <w:tc>
          <w:tcPr>
            <w:tcW w:type="dxa" w:w="1080"/>
          </w:tcPr>
          <w:p>
            <w:r>
              <w:rPr>
                <w:rFonts w:ascii="Calibri" w:hAnsi="Calibri"/>
                <w:b/>
                <w:color w:val="30A46C"/>
                <w:sz w:val="22"/>
              </w:rPr>
              <w:t>+41.8%</w:t>
            </w:r>
          </w:p>
        </w:tc>
        <w:tc>
          <w:tcPr>
            <w:tcW w:type="dxa" w:w="1080"/>
          </w:tcPr>
          <w:p>
            <w:r>
              <w:rPr>
                <w:rFonts w:ascii="Calibri" w:hAnsi="Calibri"/>
                <w:sz w:val="22"/>
              </w:rPr>
              <w:t>$4.25B</w:t>
            </w:r>
          </w:p>
        </w:tc>
        <w:tc>
          <w:tcPr>
            <w:tcW w:type="dxa" w:w="1080"/>
          </w:tcPr>
          <w:p>
            <w:r>
              <w:rPr>
                <w:rFonts w:ascii="Calibri" w:hAnsi="Calibri"/>
                <w:sz w:val="22"/>
              </w:rPr>
              <w:t>$2.98B</w:t>
            </w:r>
          </w:p>
        </w:tc>
        <w:tc>
          <w:tcPr>
            <w:tcW w:type="dxa" w:w="1080"/>
          </w:tcPr>
          <w:p>
            <w:r>
              <w:rPr>
                <w:rFonts w:ascii="Calibri" w:hAnsi="Calibri"/>
                <w:b/>
                <w:color w:val="30A46C"/>
                <w:sz w:val="22"/>
              </w:rPr>
              <w:t>+42.6%</w:t>
            </w:r>
          </w:p>
        </w:tc>
        <w:tc>
          <w:tcPr>
            <w:tcW w:type="dxa" w:w="1080"/>
          </w:tcPr>
          <w:p>
            <w:r>
              <w:rPr>
                <w:rFonts w:ascii="Calibri" w:hAnsi="Calibri"/>
                <w:b/>
                <w:color w:val="30A46C"/>
                <w:sz w:val="22"/>
              </w:rPr>
              <w:t>BEAT</w:t>
            </w:r>
          </w:p>
        </w:tc>
      </w:tr>
      <w:tr>
        <w:tc>
          <w:tcPr>
            <w:tcW w:type="dxa" w:w="1080"/>
          </w:tcPr>
          <w:p>
            <w:r>
              <w:rPr>
                <w:rFonts w:ascii="Calibri" w:hAnsi="Calibri"/>
                <w:sz w:val="22"/>
              </w:rPr>
              <w:t>Q4 2025</w:t>
            </w:r>
          </w:p>
        </w:tc>
        <w:tc>
          <w:tcPr>
            <w:tcW w:type="dxa" w:w="1080"/>
          </w:tcPr>
          <w:p>
            <w:r>
              <w:rPr>
                <w:rFonts w:ascii="Calibri" w:hAnsi="Calibri"/>
                <w:sz w:val="22"/>
              </w:rPr>
              <w:t>$2.51</w:t>
            </w:r>
          </w:p>
        </w:tc>
        <w:tc>
          <w:tcPr>
            <w:tcW w:type="dxa" w:w="1080"/>
          </w:tcPr>
          <w:p>
            <w:r>
              <w:rPr>
                <w:rFonts w:ascii="Calibri" w:hAnsi="Calibri"/>
                <w:sz w:val="22"/>
              </w:rPr>
              <w:t>$2.26</w:t>
            </w:r>
          </w:p>
        </w:tc>
        <w:tc>
          <w:tcPr>
            <w:tcW w:type="dxa" w:w="1080"/>
          </w:tcPr>
          <w:p>
            <w:r>
              <w:rPr>
                <w:rFonts w:ascii="Calibri" w:hAnsi="Calibri"/>
                <w:b/>
                <w:color w:val="30A46C"/>
                <w:sz w:val="22"/>
              </w:rPr>
              <w:t>+11.1%</w:t>
            </w:r>
          </w:p>
        </w:tc>
        <w:tc>
          <w:tcPr>
            <w:tcW w:type="dxa" w:w="1080"/>
          </w:tcPr>
          <w:p>
            <w:r>
              <w:rPr>
                <w:rFonts w:ascii="Calibri" w:hAnsi="Calibri"/>
                <w:sz w:val="22"/>
              </w:rPr>
              <w:t>$2.84B</w:t>
            </w:r>
          </w:p>
        </w:tc>
        <w:tc>
          <w:tcPr>
            <w:tcW w:type="dxa" w:w="1080"/>
          </w:tcPr>
          <w:p>
            <w:r>
              <w:rPr>
                <w:rFonts w:ascii="Calibri" w:hAnsi="Calibri"/>
                <w:sz w:val="22"/>
              </w:rPr>
              <w:t>$2.84B</w:t>
            </w:r>
          </w:p>
        </w:tc>
        <w:tc>
          <w:tcPr>
            <w:tcW w:type="dxa" w:w="1080"/>
          </w:tcPr>
          <w:p>
            <w:r>
              <w:rPr>
                <w:rFonts w:ascii="Calibri" w:hAnsi="Calibri"/>
                <w:sz w:val="22"/>
              </w:rPr>
              <w:t>0.0%</w:t>
            </w:r>
          </w:p>
        </w:tc>
        <w:tc>
          <w:tcPr>
            <w:tcW w:type="dxa" w:w="1080"/>
          </w:tcPr>
          <w:p>
            <w:r>
              <w:rPr>
                <w:rFonts w:ascii="Calibri" w:hAnsi="Calibri"/>
                <w:b/>
                <w:color w:val="30A46C"/>
                <w:sz w:val="22"/>
              </w:rPr>
              <w:t>BEAT</w:t>
            </w:r>
          </w:p>
        </w:tc>
      </w:tr>
      <w:tr>
        <w:tc>
          <w:tcPr>
            <w:tcW w:type="dxa" w:w="1080"/>
          </w:tcPr>
          <w:p>
            <w:r>
              <w:rPr>
                <w:rFonts w:ascii="Calibri" w:hAnsi="Calibri"/>
                <w:sz w:val="22"/>
              </w:rPr>
              <w:t>Q3 2025</w:t>
            </w:r>
          </w:p>
        </w:tc>
        <w:tc>
          <w:tcPr>
            <w:tcW w:type="dxa" w:w="1080"/>
          </w:tcPr>
          <w:p>
            <w:r>
              <w:rPr>
                <w:rFonts w:ascii="Calibri" w:hAnsi="Calibri"/>
                <w:sz w:val="22"/>
              </w:rPr>
              <w:t>$2.80</w:t>
            </w:r>
          </w:p>
        </w:tc>
        <w:tc>
          <w:tcPr>
            <w:tcW w:type="dxa" w:w="1080"/>
          </w:tcPr>
          <w:p>
            <w:r>
              <w:rPr>
                <w:rFonts w:ascii="Calibri" w:hAnsi="Calibri"/>
                <w:sz w:val="22"/>
              </w:rPr>
              <w:t>$2.25</w:t>
            </w:r>
          </w:p>
        </w:tc>
        <w:tc>
          <w:tcPr>
            <w:tcW w:type="dxa" w:w="1080"/>
          </w:tcPr>
          <w:p>
            <w:r>
              <w:rPr>
                <w:rFonts w:ascii="Calibri" w:hAnsi="Calibri"/>
                <w:b/>
                <w:color w:val="30A46C"/>
                <w:sz w:val="22"/>
              </w:rPr>
              <w:t>+24.4%</w:t>
            </w:r>
          </w:p>
        </w:tc>
        <w:tc>
          <w:tcPr>
            <w:tcW w:type="dxa" w:w="1080"/>
          </w:tcPr>
          <w:p>
            <w:r>
              <w:rPr>
                <w:rFonts w:ascii="Calibri" w:hAnsi="Calibri"/>
                <w:sz w:val="22"/>
              </w:rPr>
              <w:t>$3.38B</w:t>
            </w:r>
          </w:p>
        </w:tc>
        <w:tc>
          <w:tcPr>
            <w:tcW w:type="dxa" w:w="1080"/>
          </w:tcPr>
          <w:p>
            <w:r>
              <w:rPr>
                <w:rFonts w:ascii="Calibri" w:hAnsi="Calibri"/>
                <w:sz w:val="22"/>
              </w:rPr>
              <w:t>$2.66B</w:t>
            </w:r>
          </w:p>
        </w:tc>
        <w:tc>
          <w:tcPr>
            <w:tcW w:type="dxa" w:w="1080"/>
          </w:tcPr>
          <w:p>
            <w:r>
              <w:rPr>
                <w:rFonts w:ascii="Calibri" w:hAnsi="Calibri"/>
                <w:b/>
                <w:color w:val="30A46C"/>
                <w:sz w:val="22"/>
              </w:rPr>
              <w:t>+27.1%</w:t>
            </w:r>
          </w:p>
        </w:tc>
        <w:tc>
          <w:tcPr>
            <w:tcW w:type="dxa" w:w="1080"/>
          </w:tcPr>
          <w:p>
            <w:r>
              <w:rPr>
                <w:rFonts w:ascii="Calibri" w:hAnsi="Calibri"/>
                <w:b/>
                <w:color w:val="30A46C"/>
                <w:sz w:val="22"/>
              </w:rPr>
              <w:t>BEAT</w:t>
            </w:r>
          </w:p>
        </w:tc>
      </w:tr>
      <w:tr>
        <w:tc>
          <w:tcPr>
            <w:tcW w:type="dxa" w:w="1080"/>
          </w:tcPr>
          <w:p>
            <w:r>
              <w:rPr>
                <w:rFonts w:ascii="Calibri" w:hAnsi="Calibri"/>
                <w:sz w:val="22"/>
              </w:rPr>
              <w:t>Q2 2025</w:t>
            </w:r>
          </w:p>
        </w:tc>
        <w:tc>
          <w:tcPr>
            <w:tcW w:type="dxa" w:w="1080"/>
          </w:tcPr>
          <w:p>
            <w:r>
              <w:rPr>
                <w:rFonts w:ascii="Calibri" w:hAnsi="Calibri"/>
                <w:sz w:val="22"/>
              </w:rPr>
              <w:t>$2.53</w:t>
            </w:r>
          </w:p>
        </w:tc>
        <w:tc>
          <w:tcPr>
            <w:tcW w:type="dxa" w:w="1080"/>
          </w:tcPr>
          <w:p>
            <w:r>
              <w:rPr>
                <w:rFonts w:ascii="Calibri" w:hAnsi="Calibri"/>
                <w:sz w:val="22"/>
              </w:rPr>
              <w:t>$2.34</w:t>
            </w:r>
          </w:p>
        </w:tc>
        <w:tc>
          <w:tcPr>
            <w:tcW w:type="dxa" w:w="1080"/>
          </w:tcPr>
          <w:p>
            <w:r>
              <w:rPr>
                <w:rFonts w:ascii="Calibri" w:hAnsi="Calibri"/>
                <w:b/>
                <w:color w:val="30A46C"/>
                <w:sz w:val="22"/>
              </w:rPr>
              <w:t>+8.1%</w:t>
            </w:r>
          </w:p>
        </w:tc>
        <w:tc>
          <w:tcPr>
            <w:tcW w:type="dxa" w:w="1080"/>
          </w:tcPr>
          <w:p>
            <w:r>
              <w:rPr>
                <w:rFonts w:ascii="Calibri" w:hAnsi="Calibri"/>
                <w:sz w:val="22"/>
              </w:rPr>
              <w:t>$3.04B</w:t>
            </w:r>
          </w:p>
        </w:tc>
        <w:tc>
          <w:tcPr>
            <w:tcW w:type="dxa" w:w="1080"/>
          </w:tcPr>
          <w:p>
            <w:r>
              <w:rPr>
                <w:rFonts w:ascii="Calibri" w:hAnsi="Calibri"/>
                <w:sz w:val="22"/>
              </w:rPr>
              <w:t>$2.84B</w:t>
            </w:r>
          </w:p>
        </w:tc>
        <w:tc>
          <w:tcPr>
            <w:tcW w:type="dxa" w:w="1080"/>
          </w:tcPr>
          <w:p>
            <w:r>
              <w:rPr>
                <w:rFonts w:ascii="Calibri" w:hAnsi="Calibri"/>
                <w:b/>
                <w:color w:val="30A46C"/>
                <w:sz w:val="22"/>
              </w:rPr>
              <w:t>+7.0%</w:t>
            </w:r>
          </w:p>
        </w:tc>
        <w:tc>
          <w:tcPr>
            <w:tcW w:type="dxa" w:w="1080"/>
          </w:tcPr>
          <w:p>
            <w:r>
              <w:rPr>
                <w:rFonts w:ascii="Calibri" w:hAnsi="Calibri"/>
                <w:b/>
                <w:color w:val="30A46C"/>
                <w:sz w:val="22"/>
              </w:rPr>
              <w:t>BEAT</w:t>
            </w:r>
          </w:p>
        </w:tc>
      </w:tr>
      <w:tr>
        <w:tc>
          <w:tcPr>
            <w:tcW w:type="dxa" w:w="1080"/>
          </w:tcPr>
          <w:p>
            <w:r>
              <w:rPr>
                <w:rFonts w:ascii="Calibri" w:hAnsi="Calibri"/>
                <w:sz w:val="22"/>
              </w:rPr>
              <w:t>Q1 2025</w:t>
            </w:r>
          </w:p>
        </w:tc>
        <w:tc>
          <w:tcPr>
            <w:tcW w:type="dxa" w:w="1080"/>
          </w:tcPr>
          <w:p>
            <w:r>
              <w:rPr>
                <w:rFonts w:ascii="Calibri" w:hAnsi="Calibri"/>
                <w:sz w:val="22"/>
              </w:rPr>
              <w:t>$2.78</w:t>
            </w:r>
          </w:p>
        </w:tc>
        <w:tc>
          <w:tcPr>
            <w:tcW w:type="dxa" w:w="1080"/>
          </w:tcPr>
          <w:p>
            <w:r>
              <w:rPr>
                <w:rFonts w:ascii="Calibri" w:hAnsi="Calibri"/>
                <w:sz w:val="22"/>
              </w:rPr>
              <w:t>$2.70</w:t>
            </w:r>
          </w:p>
        </w:tc>
        <w:tc>
          <w:tcPr>
            <w:tcW w:type="dxa" w:w="1080"/>
          </w:tcPr>
          <w:p>
            <w:r>
              <w:rPr>
                <w:rFonts w:ascii="Calibri" w:hAnsi="Calibri"/>
                <w:b/>
                <w:color w:val="30A46C"/>
                <w:sz w:val="22"/>
              </w:rPr>
              <w:t>+3.1%</w:t>
            </w:r>
          </w:p>
        </w:tc>
        <w:tc>
          <w:tcPr>
            <w:tcW w:type="dxa" w:w="1080"/>
          </w:tcPr>
          <w:p>
            <w:r>
              <w:rPr>
                <w:rFonts w:ascii="Calibri" w:hAnsi="Calibri"/>
                <w:sz w:val="22"/>
              </w:rPr>
              <w:t>$3.49B</w:t>
            </w:r>
          </w:p>
        </w:tc>
        <w:tc>
          <w:tcPr>
            <w:tcW w:type="dxa" w:w="1080"/>
          </w:tcPr>
          <w:p>
            <w:r>
              <w:rPr>
                <w:rFonts w:ascii="Calibri" w:hAnsi="Calibri"/>
                <w:sz w:val="22"/>
              </w:rPr>
              <w:t>$3.44B</w:t>
            </w:r>
          </w:p>
        </w:tc>
        <w:tc>
          <w:tcPr>
            <w:tcW w:type="dxa" w:w="1080"/>
          </w:tcPr>
          <w:p>
            <w:r>
              <w:rPr>
                <w:rFonts w:ascii="Calibri" w:hAnsi="Calibri"/>
                <w:b/>
                <w:color w:val="30A46C"/>
                <w:sz w:val="22"/>
              </w:rPr>
              <w:t>+1.5%</w:t>
            </w:r>
          </w:p>
        </w:tc>
        <w:tc>
          <w:tcPr>
            <w:tcW w:type="dxa" w:w="1080"/>
          </w:tcPr>
          <w:p>
            <w:r>
              <w:rPr>
                <w:rFonts w:ascii="Calibri" w:hAnsi="Calibri"/>
                <w:b/>
                <w:color w:val="30A46C"/>
                <w:sz w:val="22"/>
              </w:rPr>
              <w:t>BEAT</w:t>
            </w:r>
          </w:p>
        </w:tc>
      </w:tr>
      <w:tr>
        <w:tc>
          <w:tcPr>
            <w:tcW w:type="dxa" w:w="1080"/>
          </w:tcPr>
          <w:p>
            <w:r>
              <w:rPr>
                <w:rFonts w:ascii="Calibri" w:hAnsi="Calibri"/>
                <w:sz w:val="22"/>
              </w:rPr>
              <w:t>Q4 2024</w:t>
            </w:r>
          </w:p>
        </w:tc>
        <w:tc>
          <w:tcPr>
            <w:tcW w:type="dxa" w:w="1080"/>
          </w:tcPr>
          <w:p>
            <w:r>
              <w:rPr>
                <w:rFonts w:ascii="Calibri" w:hAnsi="Calibri"/>
                <w:sz w:val="22"/>
              </w:rPr>
              <w:t>$1.92</w:t>
            </w:r>
          </w:p>
        </w:tc>
        <w:tc>
          <w:tcPr>
            <w:tcW w:type="dxa" w:w="1080"/>
          </w:tcPr>
          <w:p>
            <w:r>
              <w:rPr>
                <w:rFonts w:ascii="Calibri" w:hAnsi="Calibri"/>
                <w:sz w:val="22"/>
              </w:rPr>
              <w:t>$1.78</w:t>
            </w:r>
          </w:p>
        </w:tc>
        <w:tc>
          <w:tcPr>
            <w:tcW w:type="dxa" w:w="1080"/>
          </w:tcPr>
          <w:p>
            <w:r>
              <w:rPr>
                <w:rFonts w:ascii="Calibri" w:hAnsi="Calibri"/>
                <w:b/>
                <w:color w:val="30A46C"/>
                <w:sz w:val="22"/>
              </w:rPr>
              <w:t>+7.9%</w:t>
            </w:r>
          </w:p>
        </w:tc>
        <w:tc>
          <w:tcPr>
            <w:tcW w:type="dxa" w:w="1080"/>
          </w:tcPr>
          <w:p>
            <w:r>
              <w:rPr>
                <w:rFonts w:ascii="Calibri" w:hAnsi="Calibri"/>
                <w:sz w:val="22"/>
              </w:rPr>
              <w:t>$2.51B</w:t>
            </w:r>
          </w:p>
        </w:tc>
        <w:tc>
          <w:tcPr>
            <w:tcW w:type="dxa" w:w="1080"/>
          </w:tcPr>
          <w:p>
            <w:r>
              <w:rPr>
                <w:rFonts w:ascii="Calibri" w:hAnsi="Calibri"/>
                <w:sz w:val="22"/>
              </w:rPr>
              <w:t>$2.51B</w:t>
            </w:r>
          </w:p>
        </w:tc>
        <w:tc>
          <w:tcPr>
            <w:tcW w:type="dxa" w:w="1080"/>
          </w:tcPr>
          <w:p>
            <w:r>
              <w:rPr>
                <w:rFonts w:ascii="Calibri" w:hAnsi="Calibri"/>
                <w:sz w:val="22"/>
              </w:rPr>
              <w:t>0.0%</w:t>
            </w:r>
          </w:p>
        </w:tc>
        <w:tc>
          <w:tcPr>
            <w:tcW w:type="dxa" w:w="1080"/>
          </w:tcPr>
          <w:p>
            <w:r>
              <w:rPr>
                <w:rFonts w:ascii="Calibri" w:hAnsi="Calibri"/>
                <w:b/>
                <w:color w:val="30A46C"/>
                <w:sz w:val="22"/>
              </w:rPr>
              <w:t>BEAT</w:t>
            </w:r>
          </w:p>
        </w:tc>
      </w:tr>
      <w:tr>
        <w:tc>
          <w:tcPr>
            <w:tcW w:type="dxa" w:w="1080"/>
          </w:tcPr>
          <w:p>
            <w:r>
              <w:rPr>
                <w:rFonts w:ascii="Calibri" w:hAnsi="Calibri"/>
                <w:sz w:val="22"/>
              </w:rPr>
              <w:t>Q3 2024</w:t>
            </w:r>
          </w:p>
        </w:tc>
        <w:tc>
          <w:tcPr>
            <w:tcW w:type="dxa" w:w="1080"/>
          </w:tcPr>
          <w:p>
            <w:r>
              <w:rPr>
                <w:rFonts w:ascii="Calibri" w:hAnsi="Calibri"/>
                <w:sz w:val="22"/>
              </w:rPr>
              <w:t>$2.96</w:t>
            </w:r>
          </w:p>
        </w:tc>
        <w:tc>
          <w:tcPr>
            <w:tcW w:type="dxa" w:w="1080"/>
          </w:tcPr>
          <w:p>
            <w:r>
              <w:rPr>
                <w:rFonts w:ascii="Calibri" w:hAnsi="Calibri"/>
                <w:sz w:val="22"/>
              </w:rPr>
              <w:t>$2.15</w:t>
            </w:r>
          </w:p>
        </w:tc>
        <w:tc>
          <w:tcPr>
            <w:tcW w:type="dxa" w:w="1080"/>
          </w:tcPr>
          <w:p>
            <w:r>
              <w:rPr>
                <w:rFonts w:ascii="Calibri" w:hAnsi="Calibri"/>
                <w:b/>
                <w:color w:val="30A46C"/>
                <w:sz w:val="22"/>
              </w:rPr>
              <w:t>+37.7%</w:t>
            </w:r>
          </w:p>
        </w:tc>
        <w:tc>
          <w:tcPr>
            <w:tcW w:type="dxa" w:w="1080"/>
          </w:tcPr>
          <w:p>
            <w:r>
              <w:rPr>
                <w:rFonts w:ascii="Calibri" w:hAnsi="Calibri"/>
                <w:sz w:val="22"/>
              </w:rPr>
              <w:t>$4.12B</w:t>
            </w:r>
          </w:p>
        </w:tc>
        <w:tc>
          <w:tcPr>
            <w:tcW w:type="dxa" w:w="1080"/>
          </w:tcPr>
          <w:p>
            <w:r>
              <w:rPr>
                <w:rFonts w:ascii="Calibri" w:hAnsi="Calibri"/>
                <w:sz w:val="22"/>
              </w:rPr>
              <w:t>$3.04B</w:t>
            </w:r>
          </w:p>
        </w:tc>
        <w:tc>
          <w:tcPr>
            <w:tcW w:type="dxa" w:w="1080"/>
          </w:tcPr>
          <w:p>
            <w:r>
              <w:rPr>
                <w:rFonts w:ascii="Calibri" w:hAnsi="Calibri"/>
                <w:b/>
                <w:color w:val="30A46C"/>
                <w:sz w:val="22"/>
              </w:rPr>
              <w:t>+35.5%</w:t>
            </w:r>
          </w:p>
        </w:tc>
        <w:tc>
          <w:tcPr>
            <w:tcW w:type="dxa" w:w="1080"/>
          </w:tcPr>
          <w:p>
            <w:r>
              <w:rPr>
                <w:rFonts w:ascii="Calibri" w:hAnsi="Calibri"/>
                <w:b/>
                <w:color w:val="30A46C"/>
                <w:sz w:val="22"/>
              </w:rPr>
              <w:t>BEAT</w:t>
            </w:r>
          </w:p>
        </w:tc>
      </w:tr>
      <w:tr>
        <w:tc>
          <w:tcPr>
            <w:tcW w:type="dxa" w:w="1080"/>
          </w:tcPr>
          <w:p>
            <w:r>
              <w:rPr>
                <w:rFonts w:ascii="Calibri" w:hAnsi="Calibri"/>
                <w:sz w:val="22"/>
              </w:rPr>
              <w:t>Q2 2024</w:t>
            </w:r>
          </w:p>
        </w:tc>
        <w:tc>
          <w:tcPr>
            <w:tcW w:type="dxa" w:w="1080"/>
          </w:tcPr>
          <w:p>
            <w:r>
              <w:rPr>
                <w:rFonts w:ascii="Calibri" w:hAnsi="Calibri"/>
                <w:sz w:val="22"/>
              </w:rPr>
              <w:t>$3.06</w:t>
            </w:r>
          </w:p>
        </w:tc>
        <w:tc>
          <w:tcPr>
            <w:tcW w:type="dxa" w:w="1080"/>
          </w:tcPr>
          <w:p>
            <w:r>
              <w:rPr>
                <w:rFonts w:ascii="Calibri" w:hAnsi="Calibri"/>
                <w:sz w:val="22"/>
              </w:rPr>
              <w:t>$2.80</w:t>
            </w:r>
          </w:p>
        </w:tc>
        <w:tc>
          <w:tcPr>
            <w:tcW w:type="dxa" w:w="1080"/>
          </w:tcPr>
          <w:p>
            <w:r>
              <w:rPr>
                <w:rFonts w:ascii="Calibri" w:hAnsi="Calibri"/>
                <w:b/>
                <w:color w:val="30A46C"/>
                <w:sz w:val="22"/>
              </w:rPr>
              <w:t>+9.3%</w:t>
            </w:r>
          </w:p>
        </w:tc>
        <w:tc>
          <w:tcPr>
            <w:tcW w:type="dxa" w:w="1080"/>
          </w:tcPr>
          <w:p>
            <w:r>
              <w:rPr>
                <w:rFonts w:ascii="Calibri" w:hAnsi="Calibri"/>
                <w:sz w:val="22"/>
              </w:rPr>
              <w:t>$4.44B</w:t>
            </w:r>
          </w:p>
        </w:tc>
        <w:tc>
          <w:tcPr>
            <w:tcW w:type="dxa" w:w="1080"/>
          </w:tcPr>
          <w:p>
            <w:r>
              <w:rPr>
                <w:rFonts w:ascii="Calibri" w:hAnsi="Calibri"/>
                <w:sz w:val="22"/>
              </w:rPr>
              <w:t>$3.93B</w:t>
            </w:r>
          </w:p>
        </w:tc>
        <w:tc>
          <w:tcPr>
            <w:tcW w:type="dxa" w:w="1080"/>
          </w:tcPr>
          <w:p>
            <w:r>
              <w:rPr>
                <w:rFonts w:ascii="Calibri" w:hAnsi="Calibri"/>
                <w:b/>
                <w:color w:val="30A46C"/>
                <w:sz w:val="22"/>
              </w:rPr>
              <w:t>+12.9%</w:t>
            </w:r>
          </w:p>
        </w:tc>
        <w:tc>
          <w:tcPr>
            <w:tcW w:type="dxa" w:w="108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GM has beaten consensus on adjusted EPS in all 8 of the last 8 quarters, with an average EPS surprise of approximately +18% and EBIT-adjusted surprise of approximately +16%. The beat magnitude has been particularly large in quarters with one-time items (Q1 2026 IIPA tariff benefit, Q3 2024 Cruise-related adjustments). Even stripping out one-time items, the underlying beat rate is consistent — suggesting management guides conservatively and the Street tends to underestimate operational execution.</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was raised at Q1 2026 earnings (April 28) but the raise was entirely attributable to the one-time IIPA tariff adjustment; underlying operational guidance was held flat, reflecting management’s cautious stance on the Iran conflict. No incremental guidance changes have been made since April 28.</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Original FY2026 Guidance (Jan 27, 2026)</w:t>
            </w:r>
          </w:p>
        </w:tc>
        <w:tc>
          <w:tcPr>
            <w:tcW w:type="dxa" w:w="1728"/>
            <w:shd w:val="clear" w:color="auto" w:fill="3B4259"/>
          </w:tcPr>
          <w:p>
            <w:r>
              <w:rPr>
                <w:rFonts w:ascii="Calibri" w:hAnsi="Calibri"/>
                <w:b/>
                <w:color w:val="FFFFFF"/>
                <w:sz w:val="22"/>
              </w:rPr>
              <w:t>Revised Guidance (Apr 28, 2026 — Q1 Earnings)</w:t>
            </w:r>
          </w:p>
        </w:tc>
        <w:tc>
          <w:tcPr>
            <w:tcW w:type="dxa" w:w="1728"/>
            <w:shd w:val="clear" w:color="auto" w:fill="3B4259"/>
          </w:tcPr>
          <w:p>
            <w:r>
              <w:rPr>
                <w:rFonts w:ascii="Calibri" w:hAnsi="Calibri"/>
                <w:b/>
                <w:color w:val="FFFFFF"/>
                <w:sz w:val="22"/>
              </w:rPr>
              <w:t>Change</w:t>
            </w:r>
          </w:p>
        </w:tc>
        <w:tc>
          <w:tcPr>
            <w:tcW w:type="dxa" w:w="1728"/>
            <w:shd w:val="clear" w:color="auto" w:fill="3B4259"/>
          </w:tcPr>
          <w:p>
            <w:r>
              <w:rPr>
                <w:rFonts w:ascii="Calibri" w:hAnsi="Calibri"/>
                <w:b/>
                <w:color w:val="FFFFFF"/>
                <w:sz w:val="22"/>
              </w:rPr>
              <w:t>Management Commentary</w:t>
            </w:r>
          </w:p>
        </w:tc>
      </w:tr>
      <w:tr>
        <w:tc>
          <w:tcPr>
            <w:tcW w:type="dxa" w:w="1728"/>
          </w:tcPr>
          <w:p>
            <w:r>
              <w:rPr>
                <w:rFonts w:ascii="Calibri" w:hAnsi="Calibri"/>
                <w:sz w:val="22"/>
              </w:rPr>
              <w:t>EBIT-Adjusted</w:t>
            </w:r>
          </w:p>
        </w:tc>
        <w:tc>
          <w:tcPr>
            <w:tcW w:type="dxa" w:w="1728"/>
          </w:tcPr>
          <w:p>
            <w:r>
              <w:rPr>
                <w:rFonts w:ascii="Calibri" w:hAnsi="Calibri"/>
                <w:sz w:val="22"/>
              </w:rPr>
              <w:t>$13.0B – $15.0B</w:t>
            </w:r>
          </w:p>
        </w:tc>
        <w:tc>
          <w:tcPr>
            <w:tcW w:type="dxa" w:w="1728"/>
          </w:tcPr>
          <w:p>
            <w:r>
              <w:rPr>
                <w:rFonts w:ascii="Calibri" w:hAnsi="Calibri"/>
                <w:sz w:val="22"/>
              </w:rPr>
              <w:t>$13.5B – $15.5B</w:t>
            </w:r>
          </w:p>
        </w:tc>
        <w:tc>
          <w:tcPr>
            <w:tcW w:type="dxa" w:w="1728"/>
          </w:tcPr>
          <w:p>
            <w:r>
              <w:rPr>
                <w:rFonts w:ascii="Calibri" w:hAnsi="Calibri"/>
                <w:b/>
                <w:color w:val="30A46C"/>
                <w:sz w:val="22"/>
              </w:rPr>
              <w:t>+$500M (IIPA tariff adj.)</w:t>
            </w:r>
          </w:p>
        </w:tc>
        <w:tc>
          <w:tcPr>
            <w:tcW w:type="dxa" w:w="1728"/>
          </w:tcPr>
          <w:p>
            <w:r>
              <w:rPr>
                <w:rFonts w:ascii="Calibri" w:hAnsi="Calibri"/>
                <w:sz w:val="22"/>
              </w:rPr>
              <w:t>Raise reflects IIPA tariff benefit; underlying ops held flat due to Iran conflict uncertainty</w:t>
            </w:r>
          </w:p>
        </w:tc>
      </w:tr>
      <w:tr>
        <w:tc>
          <w:tcPr>
            <w:tcW w:type="dxa" w:w="1728"/>
          </w:tcPr>
          <w:p>
            <w:r>
              <w:rPr>
                <w:rFonts w:ascii="Calibri" w:hAnsi="Calibri"/>
                <w:sz w:val="22"/>
              </w:rPr>
              <w:t>EPS Diluted Adjusted</w:t>
            </w:r>
          </w:p>
        </w:tc>
        <w:tc>
          <w:tcPr>
            <w:tcW w:type="dxa" w:w="1728"/>
          </w:tcPr>
          <w:p>
            <w:r>
              <w:rPr>
                <w:rFonts w:ascii="Calibri" w:hAnsi="Calibri"/>
                <w:sz w:val="22"/>
              </w:rPr>
              <w:t>$11.00 – $13.00</w:t>
            </w:r>
          </w:p>
        </w:tc>
        <w:tc>
          <w:tcPr>
            <w:tcW w:type="dxa" w:w="1728"/>
          </w:tcPr>
          <w:p>
            <w:r>
              <w:rPr>
                <w:rFonts w:ascii="Calibri" w:hAnsi="Calibri"/>
                <w:sz w:val="22"/>
              </w:rPr>
              <w:t>$11.50 – $13.50</w:t>
            </w:r>
          </w:p>
        </w:tc>
        <w:tc>
          <w:tcPr>
            <w:tcW w:type="dxa" w:w="1728"/>
          </w:tcPr>
          <w:p>
            <w:r>
              <w:rPr>
                <w:rFonts w:ascii="Calibri" w:hAnsi="Calibri"/>
                <w:b/>
                <w:color w:val="30A46C"/>
                <w:sz w:val="22"/>
              </w:rPr>
              <w:t>+$0.50 midpoint</w:t>
            </w:r>
          </w:p>
        </w:tc>
        <w:tc>
          <w:tcPr>
            <w:tcW w:type="dxa" w:w="1728"/>
          </w:tcPr>
          <w:p>
            <w:r>
              <w:rPr>
                <w:rFonts w:ascii="Calibri" w:hAnsi="Calibri"/>
                <w:sz w:val="22"/>
              </w:rPr>
              <w:t>Consistent with EBIT raise; midpoint of $12.50 vs. Street at ~$12.86</w:t>
            </w:r>
          </w:p>
        </w:tc>
      </w:tr>
      <w:tr>
        <w:tc>
          <w:tcPr>
            <w:tcW w:type="dxa" w:w="1728"/>
          </w:tcPr>
          <w:p>
            <w:r>
              <w:rPr>
                <w:rFonts w:ascii="Calibri" w:hAnsi="Calibri"/>
                <w:sz w:val="22"/>
              </w:rPr>
              <w:t>Adj. Auto Free Cash Flow</w:t>
            </w:r>
          </w:p>
        </w:tc>
        <w:tc>
          <w:tcPr>
            <w:tcW w:type="dxa" w:w="1728"/>
          </w:tcPr>
          <w:p>
            <w:r>
              <w:rPr>
                <w:rFonts w:ascii="Calibri" w:hAnsi="Calibri"/>
                <w:sz w:val="22"/>
              </w:rPr>
              <w:t>$9.0B – $11.0B</w:t>
            </w:r>
          </w:p>
        </w:tc>
        <w:tc>
          <w:tcPr>
            <w:tcW w:type="dxa" w:w="1728"/>
          </w:tcPr>
          <w:p>
            <w:r>
              <w:rPr>
                <w:rFonts w:ascii="Calibri" w:hAnsi="Calibri"/>
                <w:sz w:val="22"/>
              </w:rPr>
              <w:t>$9.0B – $11.0B (maintained)</w:t>
            </w:r>
          </w:p>
        </w:tc>
        <w:tc>
          <w:tcPr>
            <w:tcW w:type="dxa" w:w="1728"/>
          </w:tcPr>
          <w:p>
            <w:r>
              <w:rPr>
                <w:rFonts w:ascii="Calibri" w:hAnsi="Calibri"/>
                <w:sz w:val="22"/>
              </w:rPr>
              <w:t>Unchanged</w:t>
            </w:r>
          </w:p>
        </w:tc>
        <w:tc>
          <w:tcPr>
            <w:tcW w:type="dxa" w:w="1728"/>
          </w:tcPr>
          <w:p>
            <w:r>
              <w:rPr>
                <w:rFonts w:ascii="Calibri" w:hAnsi="Calibri"/>
                <w:sz w:val="22"/>
              </w:rPr>
              <w:t>Excludes IIPA tariff refund due to payment timing uncertainty; heavier H2 weighting</w:t>
            </w:r>
          </w:p>
        </w:tc>
      </w:tr>
      <w:tr>
        <w:tc>
          <w:tcPr>
            <w:tcW w:type="dxa" w:w="1728"/>
          </w:tcPr>
          <w:p>
            <w:r>
              <w:rPr>
                <w:rFonts w:ascii="Calibri" w:hAnsi="Calibri"/>
                <w:sz w:val="22"/>
              </w:rPr>
              <w:t>Gross Tariff Costs</w:t>
            </w:r>
          </w:p>
        </w:tc>
        <w:tc>
          <w:tcPr>
            <w:tcW w:type="dxa" w:w="1728"/>
          </w:tcPr>
          <w:p>
            <w:r>
              <w:rPr>
                <w:rFonts w:ascii="Calibri" w:hAnsi="Calibri"/>
                <w:sz w:val="22"/>
              </w:rPr>
              <w:t>$3.0B – $4.0B</w:t>
            </w:r>
          </w:p>
        </w:tc>
        <w:tc>
          <w:tcPr>
            <w:tcW w:type="dxa" w:w="1728"/>
          </w:tcPr>
          <w:p>
            <w:r>
              <w:rPr>
                <w:rFonts w:ascii="Calibri" w:hAnsi="Calibri"/>
                <w:sz w:val="22"/>
              </w:rPr>
              <w:t>$2.5B – $3.5B</w:t>
            </w:r>
          </w:p>
        </w:tc>
        <w:tc>
          <w:tcPr>
            <w:tcW w:type="dxa" w:w="1728"/>
          </w:tcPr>
          <w:p>
            <w:r>
              <w:rPr>
                <w:rFonts w:ascii="Calibri" w:hAnsi="Calibri"/>
                <w:b/>
                <w:color w:val="30A46C"/>
                <w:sz w:val="22"/>
              </w:rPr>
              <w:t>-$500M (IIPA adj.)</w:t>
            </w:r>
          </w:p>
        </w:tc>
        <w:tc>
          <w:tcPr>
            <w:tcW w:type="dxa" w:w="1728"/>
          </w:tcPr>
          <w:p>
            <w:r>
              <w:rPr>
                <w:rFonts w:ascii="Calibri" w:hAnsi="Calibri"/>
                <w:sz w:val="22"/>
              </w:rPr>
              <w:t>Reduced by IIPA ruling; Iran conflict could add incremental commodity/freight costs</w:t>
            </w:r>
          </w:p>
        </w:tc>
      </w:tr>
      <w:tr>
        <w:tc>
          <w:tcPr>
            <w:tcW w:type="dxa" w:w="1728"/>
          </w:tcPr>
          <w:p>
            <w:r>
              <w:rPr>
                <w:rFonts w:ascii="Calibri" w:hAnsi="Calibri"/>
                <w:sz w:val="22"/>
              </w:rPr>
              <w:t>GMNA EBIT Margin</w:t>
            </w:r>
          </w:p>
        </w:tc>
        <w:tc>
          <w:tcPr>
            <w:tcW w:type="dxa" w:w="1728"/>
          </w:tcPr>
          <w:p>
            <w:r>
              <w:rPr>
                <w:rFonts w:ascii="Calibri" w:hAnsi="Calibri"/>
                <w:sz w:val="22"/>
              </w:rPr>
              <w:t>8% – 10%</w:t>
            </w:r>
          </w:p>
        </w:tc>
        <w:tc>
          <w:tcPr>
            <w:tcW w:type="dxa" w:w="1728"/>
          </w:tcPr>
          <w:p>
            <w:r>
              <w:rPr>
                <w:rFonts w:ascii="Calibri" w:hAnsi="Calibri"/>
                <w:sz w:val="22"/>
              </w:rPr>
              <w:t>8% – 10% (reiterated)</w:t>
            </w:r>
          </w:p>
        </w:tc>
        <w:tc>
          <w:tcPr>
            <w:tcW w:type="dxa" w:w="1728"/>
          </w:tcPr>
          <w:p>
            <w:r>
              <w:rPr>
                <w:rFonts w:ascii="Calibri" w:hAnsi="Calibri"/>
                <w:sz w:val="22"/>
              </w:rPr>
              <w:t>Unchanged</w:t>
            </w:r>
          </w:p>
        </w:tc>
        <w:tc>
          <w:tcPr>
            <w:tcW w:type="dxa" w:w="1728"/>
          </w:tcPr>
          <w:p>
            <w:r>
              <w:rPr>
                <w:rFonts w:ascii="Calibri" w:hAnsi="Calibri"/>
                <w:sz w:val="22"/>
              </w:rPr>
              <w:t>Q1 achieved 10.1% (incl. 1.5pts tariff benefit); clean margin was 8.6%</w:t>
            </w:r>
          </w:p>
        </w:tc>
      </w:tr>
      <w:tr>
        <w:tc>
          <w:tcPr>
            <w:tcW w:type="dxa" w:w="1728"/>
          </w:tcPr>
          <w:p>
            <w:r>
              <w:rPr>
                <w:rFonts w:ascii="Calibri" w:hAnsi="Calibri"/>
                <w:sz w:val="22"/>
              </w:rPr>
              <w:t>GM Financial EBT Adjusted</w:t>
            </w:r>
          </w:p>
        </w:tc>
        <w:tc>
          <w:tcPr>
            <w:tcW w:type="dxa" w:w="1728"/>
          </w:tcPr>
          <w:p>
            <w:r>
              <w:rPr>
                <w:rFonts w:ascii="Calibri" w:hAnsi="Calibri"/>
                <w:sz w:val="22"/>
              </w:rPr>
              <w:t>$2.5B – $3.0B</w:t>
            </w:r>
          </w:p>
        </w:tc>
        <w:tc>
          <w:tcPr>
            <w:tcW w:type="dxa" w:w="1728"/>
          </w:tcPr>
          <w:p>
            <w:r>
              <w:rPr>
                <w:rFonts w:ascii="Calibri" w:hAnsi="Calibri"/>
                <w:sz w:val="22"/>
              </w:rPr>
              <w:t>$2.5B – $3.0B (maintained)</w:t>
            </w:r>
          </w:p>
        </w:tc>
        <w:tc>
          <w:tcPr>
            <w:tcW w:type="dxa" w:w="1728"/>
          </w:tcPr>
          <w:p>
            <w:r>
              <w:rPr>
                <w:rFonts w:ascii="Calibri" w:hAnsi="Calibri"/>
                <w:sz w:val="22"/>
              </w:rPr>
              <w:t>Unchanged</w:t>
            </w:r>
          </w:p>
        </w:tc>
        <w:tc>
          <w:tcPr>
            <w:tcW w:type="dxa" w:w="1728"/>
          </w:tcPr>
          <w:p>
            <w:r>
              <w:rPr>
                <w:rFonts w:ascii="Calibri" w:hAnsi="Calibri"/>
                <w:sz w:val="22"/>
              </w:rPr>
              <w:t>Includes accelerated depreciation on EV lease portfolio</w:t>
            </w:r>
          </w:p>
        </w:tc>
      </w:tr>
      <w:tr>
        <w:tc>
          <w:tcPr>
            <w:tcW w:type="dxa" w:w="1728"/>
          </w:tcPr>
          <w:p>
            <w:r>
              <w:rPr>
                <w:rFonts w:ascii="Calibri" w:hAnsi="Calibri"/>
                <w:sz w:val="22"/>
              </w:rPr>
              <w:t>OnStar Recognized Revenue</w:t>
            </w:r>
          </w:p>
        </w:tc>
        <w:tc>
          <w:tcPr>
            <w:tcW w:type="dxa" w:w="1728"/>
          </w:tcPr>
          <w:p>
            <w:r>
              <w:rPr>
                <w:rFonts w:ascii="Calibri" w:hAnsi="Calibri"/>
                <w:sz w:val="22"/>
              </w:rPr>
              <w:t>~$2.7B (implied)</w:t>
            </w:r>
          </w:p>
        </w:tc>
        <w:tc>
          <w:tcPr>
            <w:tcW w:type="dxa" w:w="1728"/>
          </w:tcPr>
          <w:p>
            <w:r>
              <w:rPr>
                <w:rFonts w:ascii="Calibri" w:hAnsi="Calibri"/>
                <w:sz w:val="22"/>
              </w:rPr>
              <w:t>$3.1B (+15% YoY)</w:t>
            </w:r>
          </w:p>
        </w:tc>
        <w:tc>
          <w:tcPr>
            <w:tcW w:type="dxa" w:w="1728"/>
          </w:tcPr>
          <w:p>
            <w:r>
              <w:rPr>
                <w:rFonts w:ascii="Calibri" w:hAnsi="Calibri"/>
                <w:b/>
                <w:color w:val="30A46C"/>
                <w:sz w:val="22"/>
              </w:rPr>
              <w:t>Raised</w:t>
            </w:r>
          </w:p>
        </w:tc>
        <w:tc>
          <w:tcPr>
            <w:tcW w:type="dxa" w:w="1728"/>
          </w:tcPr>
          <w:p>
            <w:r>
              <w:rPr>
                <w:rFonts w:ascii="Calibri" w:hAnsi="Calibri"/>
                <w:sz w:val="22"/>
              </w:rPr>
              <w:t>13M subscribers by year-end; ~$20/month ARPU; deferred revenue to approach $7.5B (+35% YoY)</w:t>
            </w:r>
          </w:p>
        </w:tc>
      </w:tr>
    </w:tbl>
    <w:p>
      <w:pPr>
        <w:pStyle w:val="Heading3"/>
      </w:pPr>
      <w:r>
        <w:rPr>
          <w:rFonts w:ascii="Calibri" w:hAnsi="Calibri"/>
          <w:b/>
          <w:color w:val="3B4259"/>
          <w:sz w:val="24"/>
        </w:rPr>
        <w:t>Key Operational Guidance Points for Q2 2026</w:t>
      </w:r>
    </w:p>
    <w:p>
      <w:pPr>
        <w:pStyle w:val="ListBullet"/>
        <w:ind w:left="360" w:hanging="360"/>
      </w:pPr>
      <w:r>
        <w:rPr>
          <w:rFonts w:ascii="Calibri" w:hAnsi="Calibri"/>
          <w:b/>
          <w:color w:val="525866"/>
          <w:sz w:val="22"/>
        </w:rPr>
        <w:t xml:space="preserve">Inventory &amp; Volumes: </w:t>
      </w:r>
      <w:r>
        <w:rPr>
          <w:rFonts w:ascii="Calibri" w:hAnsi="Calibri"/>
          <w:color w:val="525866"/>
          <w:sz w:val="22"/>
        </w:rPr>
        <w:t>GM entered Q2 with ~47 days of supply on dealer lots. Management guided that heavy-duty truck downtime from Q1 is “largely behind us,” with only selective downtime expected. Full-size pickup production normalization is the key volume driver for Q2.</w:t>
      </w:r>
    </w:p>
    <w:p>
      <w:pPr>
        <w:pStyle w:val="ListBullet"/>
        <w:ind w:left="360" w:hanging="360"/>
      </w:pPr>
      <w:r>
        <w:rPr>
          <w:rFonts w:ascii="Calibri" w:hAnsi="Calibri"/>
          <w:b/>
          <w:color w:val="525866"/>
          <w:sz w:val="22"/>
        </w:rPr>
        <w:t xml:space="preserve">Pricing: </w:t>
      </w:r>
      <w:r>
        <w:rPr>
          <w:rFonts w:ascii="Calibri" w:hAnsi="Calibri"/>
          <w:color w:val="525866"/>
          <w:sz w:val="22"/>
        </w:rPr>
        <w:t>Management continues to expect pricing to be “flat, up 0.5%” for the full year, benefiting from model year 2026 price increases. No incremental pricing pressure flagged.</w:t>
      </w:r>
    </w:p>
    <w:p>
      <w:pPr>
        <w:pStyle w:val="ListBullet"/>
        <w:ind w:left="360" w:hanging="360"/>
      </w:pPr>
      <w:r>
        <w:rPr>
          <w:rFonts w:ascii="Calibri" w:hAnsi="Calibri"/>
          <w:b/>
          <w:color w:val="525866"/>
          <w:sz w:val="22"/>
        </w:rPr>
        <w:t xml:space="preserve">EV Volumes: </w:t>
      </w:r>
      <w:r>
        <w:rPr>
          <w:rFonts w:ascii="Calibri" w:hAnsi="Calibri"/>
          <w:color w:val="525866"/>
          <w:sz w:val="22"/>
        </w:rPr>
        <w:t>Expected to be lower in 2026 as the market stabilizes around 6% of U.S. industry sales. GM expects a $1.0–$1.5B benefit from rightsizing EV capacity. EV market share was ~13% exiting Q1.</w:t>
      </w:r>
    </w:p>
    <w:p>
      <w:pPr>
        <w:pStyle w:val="ListBullet"/>
        <w:ind w:left="360" w:hanging="360"/>
      </w:pPr>
      <w:r>
        <w:rPr>
          <w:rFonts w:ascii="Calibri" w:hAnsi="Calibri"/>
          <w:b/>
          <w:color w:val="525866"/>
          <w:sz w:val="22"/>
        </w:rPr>
        <w:t xml:space="preserve">Warranty: </w:t>
      </w:r>
      <w:r>
        <w:rPr>
          <w:rFonts w:ascii="Calibri" w:hAnsi="Calibri"/>
          <w:color w:val="525866"/>
          <w:sz w:val="22"/>
        </w:rPr>
        <w:t>Full-year tailwind of ~$1B expected YoY; Q1 improved ~$200M vs. prior year. Continued improvement expected in Q2.</w:t>
      </w:r>
    </w:p>
    <w:p>
      <w:pPr>
        <w:pStyle w:val="ListBullet"/>
        <w:ind w:left="360" w:hanging="360"/>
      </w:pPr>
      <w:r>
        <w:rPr>
          <w:rFonts w:ascii="Calibri" w:hAnsi="Calibri"/>
          <w:b/>
          <w:color w:val="525866"/>
          <w:sz w:val="22"/>
        </w:rPr>
        <w:t xml:space="preserve">Regulatory Costs: </w:t>
      </w:r>
      <w:r>
        <w:rPr>
          <w:rFonts w:ascii="Calibri" w:hAnsi="Calibri"/>
          <w:color w:val="525866"/>
          <w:sz w:val="22"/>
        </w:rPr>
        <w:t>$500M–$750M tailwind expected for the full year.</w:t>
      </w:r>
    </w:p>
    <w:p>
      <w:pPr>
        <w:pStyle w:val="ListBullet"/>
        <w:ind w:left="360" w:hanging="360"/>
      </w:pPr>
      <w:r>
        <w:rPr>
          <w:rFonts w:ascii="Calibri" w:hAnsi="Calibri"/>
          <w:b/>
          <w:color w:val="525866"/>
          <w:sz w:val="22"/>
        </w:rPr>
        <w:t xml:space="preserve">New Pickup Launch: </w:t>
      </w:r>
      <w:r>
        <w:rPr>
          <w:rFonts w:ascii="Calibri" w:hAnsi="Calibri"/>
          <w:color w:val="525866"/>
          <w:sz w:val="22"/>
        </w:rPr>
        <w:t>Next-generation full-size pickup launch begins in Q3 2026 and accelerates. Management flagged a “small amount of impact” possible in the latter part of the year due to changeover, but Q2 should be clean.</w:t>
      </w:r>
    </w:p>
    <w:p>
      <w:pPr>
        <w:pStyle w:val="ListBullet"/>
        <w:ind w:left="360" w:hanging="360"/>
      </w:pPr>
      <w:r>
        <w:rPr>
          <w:rFonts w:ascii="Calibri" w:hAnsi="Calibri"/>
          <w:b/>
          <w:color w:val="525866"/>
          <w:sz w:val="22"/>
        </w:rPr>
        <w:t xml:space="preserve">Iran Conflict: </w:t>
      </w:r>
      <w:r>
        <w:rPr>
          <w:rFonts w:ascii="Calibri" w:hAnsi="Calibri"/>
          <w:color w:val="525866"/>
          <w:sz w:val="22"/>
        </w:rPr>
        <w:t>Primary macro wildcard. Management is monitoring oil prices, commodity costs, logistics, and Middle East wholesale volumes. No quantification provided; tone is cautious and wait-and-see.</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The Street is running slightly above management’s guidance midpoint on EPS ($12.86 vs. $12.50 midpoint), suggesting analysts are giving GM credit for continued operational outperformance. Revisions have been stable-to-positive since Q1 earnings, with no meaningful downward drift despite Iran conflict uncertainty.</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Metric</w:t>
            </w:r>
          </w:p>
        </w:tc>
        <w:tc>
          <w:tcPr>
            <w:tcW w:type="dxa" w:w="1440"/>
            <w:shd w:val="clear" w:color="auto" w:fill="3B4259"/>
          </w:tcPr>
          <w:p>
            <w:r>
              <w:rPr>
                <w:rFonts w:ascii="Calibri" w:hAnsi="Calibri"/>
                <w:b/>
                <w:color w:val="FFFFFF"/>
                <w:sz w:val="22"/>
              </w:rPr>
              <w:t>FY2026 Guidance Range</w:t>
            </w:r>
          </w:p>
        </w:tc>
        <w:tc>
          <w:tcPr>
            <w:tcW w:type="dxa" w:w="1440"/>
            <w:shd w:val="clear" w:color="auto" w:fill="3B4259"/>
          </w:tcPr>
          <w:p>
            <w:r>
              <w:rPr>
                <w:rFonts w:ascii="Calibri" w:hAnsi="Calibri"/>
                <w:b/>
                <w:color w:val="FFFFFF"/>
                <w:sz w:val="22"/>
              </w:rPr>
              <w:t>Guidance Midpoint</w:t>
            </w:r>
          </w:p>
        </w:tc>
        <w:tc>
          <w:tcPr>
            <w:tcW w:type="dxa" w:w="1440"/>
            <w:shd w:val="clear" w:color="auto" w:fill="3B4259"/>
          </w:tcPr>
          <w:p>
            <w:r>
              <w:rPr>
                <w:rFonts w:ascii="Calibri" w:hAnsi="Calibri"/>
                <w:b/>
                <w:color w:val="FFFFFF"/>
                <w:sz w:val="22"/>
              </w:rPr>
              <w:t>Current Consensus (FY2026)</w:t>
            </w:r>
          </w:p>
        </w:tc>
        <w:tc>
          <w:tcPr>
            <w:tcW w:type="dxa" w:w="1440"/>
            <w:shd w:val="clear" w:color="auto" w:fill="3B4259"/>
          </w:tcPr>
          <w:p>
            <w:r>
              <w:rPr>
                <w:rFonts w:ascii="Calibri" w:hAnsi="Calibri"/>
                <w:b/>
                <w:color w:val="FFFFFF"/>
                <w:sz w:val="22"/>
              </w:rPr>
              <w:t>Cons. vs. Midpoint</w:t>
            </w:r>
          </w:p>
        </w:tc>
        <w:tc>
          <w:tcPr>
            <w:tcW w:type="dxa" w:w="1440"/>
            <w:shd w:val="clear" w:color="auto" w:fill="3B4259"/>
          </w:tcPr>
          <w:p>
            <w:r>
              <w:rPr>
                <w:rFonts w:ascii="Calibri" w:hAnsi="Calibri"/>
                <w:b/>
                <w:color w:val="FFFFFF"/>
                <w:sz w:val="22"/>
              </w:rPr>
              <w:t>Direction of Revisions</w:t>
            </w:r>
          </w:p>
        </w:tc>
      </w:tr>
      <w:tr>
        <w:tc>
          <w:tcPr>
            <w:tcW w:type="dxa" w:w="1440"/>
          </w:tcPr>
          <w:p>
            <w:r>
              <w:rPr>
                <w:rFonts w:ascii="Calibri" w:hAnsi="Calibri"/>
                <w:sz w:val="22"/>
              </w:rPr>
              <w:t>EPS Diluted Adjusted</w:t>
            </w:r>
          </w:p>
        </w:tc>
        <w:tc>
          <w:tcPr>
            <w:tcW w:type="dxa" w:w="1440"/>
          </w:tcPr>
          <w:p>
            <w:r>
              <w:rPr>
                <w:rFonts w:ascii="Calibri" w:hAnsi="Calibri"/>
                <w:sz w:val="22"/>
              </w:rPr>
              <w:t>$11.50 – $13.50</w:t>
            </w:r>
          </w:p>
        </w:tc>
        <w:tc>
          <w:tcPr>
            <w:tcW w:type="dxa" w:w="1440"/>
          </w:tcPr>
          <w:p>
            <w:r>
              <w:rPr>
                <w:rFonts w:ascii="Calibri" w:hAnsi="Calibri"/>
                <w:sz w:val="22"/>
              </w:rPr>
              <w:t>$12.50</w:t>
            </w:r>
          </w:p>
        </w:tc>
        <w:tc>
          <w:tcPr>
            <w:tcW w:type="dxa" w:w="1440"/>
          </w:tcPr>
          <w:p>
            <w:r>
              <w:rPr>
                <w:rFonts w:ascii="Calibri" w:hAnsi="Calibri"/>
                <w:sz w:val="22"/>
              </w:rPr>
              <w:t>$12.86</w:t>
            </w:r>
          </w:p>
        </w:tc>
        <w:tc>
          <w:tcPr>
            <w:tcW w:type="dxa" w:w="1440"/>
          </w:tcPr>
          <w:p>
            <w:r>
              <w:rPr>
                <w:rFonts w:ascii="Calibri" w:hAnsi="Calibri"/>
                <w:b/>
                <w:color w:val="30A46C"/>
                <w:sz w:val="22"/>
              </w:rPr>
              <w:t>+2.9% above</w:t>
            </w:r>
          </w:p>
        </w:tc>
        <w:tc>
          <w:tcPr>
            <w:tcW w:type="dxa" w:w="1440"/>
          </w:tcPr>
          <w:p>
            <w:r>
              <w:rPr>
                <w:rFonts w:ascii="Calibri" w:hAnsi="Calibri"/>
                <w:sz w:val="22"/>
              </w:rPr>
              <w:t>↑ Stable-to-rising since Q1 earnings</w:t>
            </w:r>
          </w:p>
        </w:tc>
      </w:tr>
      <w:tr>
        <w:tc>
          <w:tcPr>
            <w:tcW w:type="dxa" w:w="1440"/>
          </w:tcPr>
          <w:p>
            <w:r>
              <w:rPr>
                <w:rFonts w:ascii="Calibri" w:hAnsi="Calibri"/>
                <w:sz w:val="22"/>
              </w:rPr>
              <w:t>EBIT-Adjusted</w:t>
            </w:r>
          </w:p>
        </w:tc>
        <w:tc>
          <w:tcPr>
            <w:tcW w:type="dxa" w:w="1440"/>
          </w:tcPr>
          <w:p>
            <w:r>
              <w:rPr>
                <w:rFonts w:ascii="Calibri" w:hAnsi="Calibri"/>
                <w:sz w:val="22"/>
              </w:rPr>
              <w:t>$13.5B – $15.5B</w:t>
            </w:r>
          </w:p>
        </w:tc>
        <w:tc>
          <w:tcPr>
            <w:tcW w:type="dxa" w:w="1440"/>
          </w:tcPr>
          <w:p>
            <w:r>
              <w:rPr>
                <w:rFonts w:ascii="Calibri" w:hAnsi="Calibri"/>
                <w:sz w:val="22"/>
              </w:rPr>
              <w:t>$14.5B</w:t>
            </w:r>
          </w:p>
        </w:tc>
        <w:tc>
          <w:tcPr>
            <w:tcW w:type="dxa" w:w="1440"/>
          </w:tcPr>
          <w:p>
            <w:r>
              <w:rPr>
                <w:rFonts w:ascii="Calibri" w:hAnsi="Calibri"/>
                <w:sz w:val="22"/>
              </w:rPr>
              <w:t>$14.71B</w:t>
            </w:r>
          </w:p>
        </w:tc>
        <w:tc>
          <w:tcPr>
            <w:tcW w:type="dxa" w:w="1440"/>
          </w:tcPr>
          <w:p>
            <w:r>
              <w:rPr>
                <w:rFonts w:ascii="Calibri" w:hAnsi="Calibri"/>
                <w:b/>
                <w:color w:val="30A46C"/>
                <w:sz w:val="22"/>
              </w:rPr>
              <w:t>+1.5% above</w:t>
            </w:r>
          </w:p>
        </w:tc>
        <w:tc>
          <w:tcPr>
            <w:tcW w:type="dxa" w:w="1440"/>
          </w:tcPr>
          <w:p>
            <w:r>
              <w:rPr>
                <w:rFonts w:ascii="Calibri" w:hAnsi="Calibri"/>
                <w:sz w:val="22"/>
              </w:rPr>
              <w:t>↑ Stable since Q1 raise</w:t>
            </w:r>
          </w:p>
        </w:tc>
      </w:tr>
      <w:tr>
        <w:tc>
          <w:tcPr>
            <w:tcW w:type="dxa" w:w="1440"/>
          </w:tcPr>
          <w:p>
            <w:r>
              <w:rPr>
                <w:rFonts w:ascii="Calibri" w:hAnsi="Calibri"/>
                <w:sz w:val="22"/>
              </w:rPr>
              <w:t>Adj. Auto Free Cash Flow</w:t>
            </w:r>
          </w:p>
        </w:tc>
        <w:tc>
          <w:tcPr>
            <w:tcW w:type="dxa" w:w="1440"/>
          </w:tcPr>
          <w:p>
            <w:r>
              <w:rPr>
                <w:rFonts w:ascii="Calibri" w:hAnsi="Calibri"/>
                <w:sz w:val="22"/>
              </w:rPr>
              <w:t>$9.0B – $11.0B</w:t>
            </w:r>
          </w:p>
        </w:tc>
        <w:tc>
          <w:tcPr>
            <w:tcW w:type="dxa" w:w="1440"/>
          </w:tcPr>
          <w:p>
            <w:r>
              <w:rPr>
                <w:rFonts w:ascii="Calibri" w:hAnsi="Calibri"/>
                <w:sz w:val="22"/>
              </w:rPr>
              <w:t>$10.0B</w:t>
            </w:r>
          </w:p>
        </w:tc>
        <w:tc>
          <w:tcPr>
            <w:tcW w:type="dxa" w:w="1440"/>
          </w:tcPr>
          <w:p>
            <w:r>
              <w:rPr>
                <w:rFonts w:ascii="Calibri" w:hAnsi="Calibri"/>
                <w:sz w:val="22"/>
              </w:rPr>
              <w:t>$8.49B</w:t>
            </w:r>
          </w:p>
        </w:tc>
        <w:tc>
          <w:tcPr>
            <w:tcW w:type="dxa" w:w="1440"/>
          </w:tcPr>
          <w:p>
            <w:r>
              <w:rPr>
                <w:rFonts w:ascii="Calibri" w:hAnsi="Calibri"/>
                <w:b/>
                <w:color w:val="E5484D"/>
                <w:sz w:val="22"/>
              </w:rPr>
              <w:t>-15.1% below</w:t>
            </w:r>
          </w:p>
        </w:tc>
        <w:tc>
          <w:tcPr>
            <w:tcW w:type="dxa" w:w="1440"/>
          </w:tcPr>
          <w:p>
            <w:r>
              <w:rPr>
                <w:rFonts w:ascii="Calibri" w:hAnsi="Calibri"/>
                <w:sz w:val="22"/>
              </w:rPr>
              <w:t>↓ Street more conservative than guidance; H2 weighting creates uncertainty</w:t>
            </w:r>
          </w:p>
        </w:tc>
      </w:tr>
      <w:tr>
        <w:tc>
          <w:tcPr>
            <w:tcW w:type="dxa" w:w="1440"/>
          </w:tcPr>
          <w:p>
            <w:r>
              <w:rPr>
                <w:rFonts w:ascii="Calibri" w:hAnsi="Calibri"/>
                <w:sz w:val="22"/>
              </w:rPr>
              <w:t>FY2027 EPS Adjusted</w:t>
            </w:r>
          </w:p>
        </w:tc>
        <w:tc>
          <w:tcPr>
            <w:tcW w:type="dxa" w:w="1440"/>
          </w:tcPr>
          <w:p>
            <w:r>
              <w:rPr>
                <w:rFonts w:ascii="Calibri" w:hAnsi="Calibri"/>
                <w:sz w:val="22"/>
              </w:rPr>
              <w:t>N/A (no FY27 guidance)</w:t>
            </w:r>
          </w:p>
        </w:tc>
        <w:tc>
          <w:tcPr>
            <w:tcW w:type="dxa" w:w="1440"/>
          </w:tcPr>
          <w:p>
            <w:r>
              <w:rPr>
                <w:rFonts w:ascii="Calibri" w:hAnsi="Calibri"/>
                <w:sz w:val="22"/>
              </w:rPr>
              <w:t>N/A</w:t>
            </w:r>
          </w:p>
        </w:tc>
        <w:tc>
          <w:tcPr>
            <w:tcW w:type="dxa" w:w="1440"/>
          </w:tcPr>
          <w:p>
            <w:r>
              <w:rPr>
                <w:rFonts w:ascii="Calibri" w:hAnsi="Calibri"/>
                <w:sz w:val="22"/>
              </w:rPr>
              <w:t>$14.22</w:t>
            </w:r>
          </w:p>
        </w:tc>
        <w:tc>
          <w:tcPr>
            <w:tcW w:type="dxa" w:w="1440"/>
          </w:tcPr>
          <w:p>
            <w:r>
              <w:rPr>
                <w:rFonts w:ascii="Calibri" w:hAnsi="Calibri"/>
                <w:sz w:val="22"/>
              </w:rPr>
              <w:t>+10.6% vs. FY26 cons.</w:t>
            </w:r>
          </w:p>
        </w:tc>
        <w:tc>
          <w:tcPr>
            <w:tcW w:type="dxa" w:w="1440"/>
          </w:tcPr>
          <w:p>
            <w:r>
              <w:rPr>
                <w:rFonts w:ascii="Calibri" w:hAnsi="Calibri"/>
                <w:sz w:val="22"/>
              </w:rPr>
              <w:t>↑ Street pricing in continued earnings growth</w:t>
            </w:r>
          </w:p>
        </w:tc>
      </w:tr>
    </w:tbl>
    <w:p>
      <w:r>
        <w:rPr>
          <w:rFonts w:ascii="Calibri" w:hAnsi="Calibri"/>
          <w:b/>
          <w:color w:val="525866"/>
          <w:sz w:val="22"/>
        </w:rPr>
        <w:t xml:space="preserve">Note on Free Cash Flow: </w:t>
      </w:r>
      <w:r>
        <w:rPr>
          <w:rFonts w:ascii="Calibri" w:hAnsi="Calibri"/>
          <w:color w:val="525866"/>
          <w:sz w:val="22"/>
        </w:rPr>
        <w:t>The Street’s FY2026 FCF consensus of ~$8.5B sits below the guidance midpoint of $10B. This gap likely reflects analyst conservatism around the H2 weighting of cash flows and uncertainty about the timing of the IIPA tariff refund (which management explicitly excluded from guidance). If the refund is received in H2, FCF could surprise materially to the upside.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GM has underperformed both the S&amp;P 500 and XLY since Q1 earnings, giving back its post-earnings gains and trading near pre-earnings levels. The stock is not pricing in a beat, and at ~6x forward earnings, the valuation discount remains extreme relative to the market.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GM vs. XLY (Consumer Discretionary ETF) vs. S&amp;P 500 (SPY) — Indexed to 100 at Q1 2026 Earnings (April 28, 2026). Source: Stock Price Data.</w:t>
      </w:r>
    </w:p>
    <w:p>
      <w:pPr>
        <w:pStyle w:val="Heading3"/>
      </w:pPr>
      <w:r>
        <w:rPr>
          <w:rFonts w:ascii="Calibri" w:hAnsi="Calibri"/>
          <w:b/>
          <w:color w:val="3B4259"/>
          <w:sz w:val="24"/>
        </w:rPr>
        <w:t>Performance Summary Since Q1 2026 Earnings (April 28,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GM</w:t>
            </w:r>
          </w:p>
        </w:tc>
        <w:tc>
          <w:tcPr>
            <w:tcW w:type="dxa" w:w="2160"/>
            <w:shd w:val="clear" w:color="auto" w:fill="3B4259"/>
          </w:tcPr>
          <w:p>
            <w:r>
              <w:rPr>
                <w:rFonts w:ascii="Calibri" w:hAnsi="Calibri"/>
                <w:b/>
                <w:color w:val="FFFFFF"/>
                <w:sz w:val="22"/>
              </w:rPr>
              <w:t>XLY (Consumer Disc.)</w:t>
            </w:r>
          </w:p>
        </w:tc>
        <w:tc>
          <w:tcPr>
            <w:tcW w:type="dxa" w:w="2160"/>
            <w:shd w:val="clear" w:color="auto" w:fill="3B4259"/>
          </w:tcPr>
          <w:p>
            <w:r>
              <w:rPr>
                <w:rFonts w:ascii="Calibri" w:hAnsi="Calibri"/>
                <w:b/>
                <w:color w:val="FFFFFF"/>
                <w:sz w:val="22"/>
              </w:rPr>
              <w:t>SPY (S&amp;P 500)</w:t>
            </w:r>
          </w:p>
        </w:tc>
      </w:tr>
      <w:tr>
        <w:tc>
          <w:tcPr>
            <w:tcW w:type="dxa" w:w="2160"/>
          </w:tcPr>
          <w:p>
            <w:r>
              <w:rPr>
                <w:rFonts w:ascii="Calibri" w:hAnsi="Calibri"/>
                <w:sz w:val="22"/>
              </w:rPr>
              <w:t>Price at Q1 Earnings (Apr 28)</w:t>
            </w:r>
          </w:p>
        </w:tc>
        <w:tc>
          <w:tcPr>
            <w:tcW w:type="dxa" w:w="2160"/>
          </w:tcPr>
          <w:p>
            <w:r>
              <w:rPr>
                <w:rFonts w:ascii="Calibri" w:hAnsi="Calibri"/>
                <w:sz w:val="22"/>
              </w:rPr>
              <w:t>$78.95</w:t>
            </w:r>
          </w:p>
        </w:tc>
        <w:tc>
          <w:tcPr>
            <w:tcW w:type="dxa" w:w="2160"/>
          </w:tcPr>
          <w:p>
            <w:r>
              <w:rPr>
                <w:rFonts w:ascii="Calibri" w:hAnsi="Calibri"/>
                <w:sz w:val="22"/>
              </w:rPr>
              <w:t>$117.01</w:t>
            </w:r>
          </w:p>
        </w:tc>
        <w:tc>
          <w:tcPr>
            <w:tcW w:type="dxa" w:w="2160"/>
          </w:tcPr>
          <w:p>
            <w:r>
              <w:rPr>
                <w:rFonts w:ascii="Calibri" w:hAnsi="Calibri"/>
                <w:sz w:val="22"/>
              </w:rPr>
              <w:t>$711.69</w:t>
            </w:r>
          </w:p>
        </w:tc>
      </w:tr>
      <w:tr>
        <w:tc>
          <w:tcPr>
            <w:tcW w:type="dxa" w:w="2160"/>
          </w:tcPr>
          <w:p>
            <w:r>
              <w:rPr>
                <w:rFonts w:ascii="Calibri" w:hAnsi="Calibri"/>
                <w:sz w:val="22"/>
              </w:rPr>
              <w:t>Peak Price Since Earnings</w:t>
            </w:r>
          </w:p>
        </w:tc>
        <w:tc>
          <w:tcPr>
            <w:tcW w:type="dxa" w:w="2160"/>
          </w:tcPr>
          <w:p>
            <w:r>
              <w:rPr>
                <w:rFonts w:ascii="Calibri" w:hAnsi="Calibri"/>
                <w:sz w:val="22"/>
              </w:rPr>
              <w:t>$84.35 (May 28)</w:t>
            </w:r>
          </w:p>
        </w:tc>
        <w:tc>
          <w:tcPr>
            <w:tcW w:type="dxa" w:w="2160"/>
          </w:tcPr>
          <w:p>
            <w:r>
              <w:rPr>
                <w:rFonts w:ascii="Calibri" w:hAnsi="Calibri"/>
                <w:sz w:val="22"/>
              </w:rPr>
              <w:t>$122.06 (May 28)</w:t>
            </w:r>
          </w:p>
        </w:tc>
        <w:tc>
          <w:tcPr>
            <w:tcW w:type="dxa" w:w="2160"/>
          </w:tcPr>
          <w:p>
            <w:r>
              <w:rPr>
                <w:rFonts w:ascii="Calibri" w:hAnsi="Calibri"/>
                <w:sz w:val="22"/>
              </w:rPr>
              <w:t>$756.48 (May 29)</w:t>
            </w:r>
          </w:p>
        </w:tc>
      </w:tr>
      <w:tr>
        <w:tc>
          <w:tcPr>
            <w:tcW w:type="dxa" w:w="2160"/>
          </w:tcPr>
          <w:p>
            <w:r>
              <w:rPr>
                <w:rFonts w:ascii="Calibri" w:hAnsi="Calibri"/>
                <w:sz w:val="22"/>
              </w:rPr>
              <w:t>Current Price (Jul 20)</w:t>
            </w:r>
          </w:p>
        </w:tc>
        <w:tc>
          <w:tcPr>
            <w:tcW w:type="dxa" w:w="2160"/>
          </w:tcPr>
          <w:p>
            <w:r>
              <w:rPr>
                <w:rFonts w:ascii="Calibri" w:hAnsi="Calibri"/>
                <w:sz w:val="22"/>
              </w:rPr>
              <w:t>$75.80</w:t>
            </w:r>
          </w:p>
        </w:tc>
        <w:tc>
          <w:tcPr>
            <w:tcW w:type="dxa" w:w="2160"/>
          </w:tcPr>
          <w:p>
            <w:r>
              <w:rPr>
                <w:rFonts w:ascii="Calibri" w:hAnsi="Calibri"/>
                <w:sz w:val="22"/>
              </w:rPr>
              <w:t>$114.61</w:t>
            </w:r>
          </w:p>
        </w:tc>
        <w:tc>
          <w:tcPr>
            <w:tcW w:type="dxa" w:w="2160"/>
          </w:tcPr>
          <w:p>
            <w:r>
              <w:rPr>
                <w:rFonts w:ascii="Calibri" w:hAnsi="Calibri"/>
                <w:sz w:val="22"/>
              </w:rPr>
              <w:t>$742.09</w:t>
            </w:r>
          </w:p>
        </w:tc>
      </w:tr>
      <w:tr>
        <w:tc>
          <w:tcPr>
            <w:tcW w:type="dxa" w:w="2160"/>
          </w:tcPr>
          <w:p>
            <w:r>
              <w:rPr>
                <w:rFonts w:ascii="Calibri" w:hAnsi="Calibri"/>
                <w:sz w:val="22"/>
              </w:rPr>
              <w:t>Return Since Q1 Earnings</w:t>
            </w:r>
          </w:p>
        </w:tc>
        <w:tc>
          <w:tcPr>
            <w:tcW w:type="dxa" w:w="2160"/>
          </w:tcPr>
          <w:p>
            <w:r>
              <w:rPr>
                <w:rFonts w:ascii="Calibri" w:hAnsi="Calibri"/>
                <w:b/>
                <w:color w:val="E5484D"/>
                <w:sz w:val="22"/>
              </w:rPr>
              <w:t>-4.0%</w:t>
            </w:r>
          </w:p>
        </w:tc>
        <w:tc>
          <w:tcPr>
            <w:tcW w:type="dxa" w:w="2160"/>
          </w:tcPr>
          <w:p>
            <w:r>
              <w:rPr>
                <w:rFonts w:ascii="Calibri" w:hAnsi="Calibri"/>
                <w:b/>
                <w:color w:val="E5484D"/>
                <w:sz w:val="22"/>
              </w:rPr>
              <w:t>-2.1%</w:t>
            </w:r>
          </w:p>
        </w:tc>
        <w:tc>
          <w:tcPr>
            <w:tcW w:type="dxa" w:w="2160"/>
          </w:tcPr>
          <w:p>
            <w:r>
              <w:rPr>
                <w:rFonts w:ascii="Calibri" w:hAnsi="Calibri"/>
                <w:b/>
                <w:color w:val="30A46C"/>
                <w:sz w:val="22"/>
              </w:rPr>
              <w:t>+4.3%</w:t>
            </w:r>
          </w:p>
        </w:tc>
      </w:tr>
      <w:tr>
        <w:tc>
          <w:tcPr>
            <w:tcW w:type="dxa" w:w="2160"/>
          </w:tcPr>
          <w:p>
            <w:r>
              <w:rPr>
                <w:rFonts w:ascii="Calibri" w:hAnsi="Calibri"/>
                <w:sz w:val="22"/>
              </w:rPr>
              <w:t>Return from Peak</w:t>
            </w:r>
          </w:p>
        </w:tc>
        <w:tc>
          <w:tcPr>
            <w:tcW w:type="dxa" w:w="2160"/>
          </w:tcPr>
          <w:p>
            <w:r>
              <w:rPr>
                <w:rFonts w:ascii="Calibri" w:hAnsi="Calibri"/>
                <w:sz w:val="22"/>
              </w:rPr>
              <w:t>-10.1% from $84.35</w:t>
            </w:r>
          </w:p>
        </w:tc>
        <w:tc>
          <w:tcPr>
            <w:tcW w:type="dxa" w:w="2160"/>
          </w:tcPr>
          <w:p>
            <w:r>
              <w:rPr>
                <w:rFonts w:ascii="Calibri" w:hAnsi="Calibri"/>
                <w:sz w:val="22"/>
              </w:rPr>
              <w:t>-6.1% from $122.06</w:t>
            </w:r>
          </w:p>
        </w:tc>
        <w:tc>
          <w:tcPr>
            <w:tcW w:type="dxa" w:w="2160"/>
          </w:tcPr>
          <w:p>
            <w:r>
              <w:rPr>
                <w:rFonts w:ascii="Calibri" w:hAnsi="Calibri"/>
                <w:sz w:val="22"/>
              </w:rPr>
              <w:t>-1.9% from $756.48</w:t>
            </w:r>
          </w:p>
        </w:tc>
      </w:tr>
      <w:tr>
        <w:tc>
          <w:tcPr>
            <w:tcW w:type="dxa" w:w="2160"/>
          </w:tcPr>
          <w:p>
            <w:r>
              <w:rPr>
                <w:rFonts w:ascii="Calibri" w:hAnsi="Calibri"/>
                <w:sz w:val="22"/>
              </w:rPr>
              <w:t>Indexed Return (Base 100)</w:t>
            </w:r>
          </w:p>
        </w:tc>
        <w:tc>
          <w:tcPr>
            <w:tcW w:type="dxa" w:w="2160"/>
          </w:tcPr>
          <w:p>
            <w:r>
              <w:rPr>
                <w:rFonts w:ascii="Calibri" w:hAnsi="Calibri"/>
                <w:sz w:val="22"/>
              </w:rPr>
              <w:t>96.0</w:t>
            </w:r>
          </w:p>
        </w:tc>
        <w:tc>
          <w:tcPr>
            <w:tcW w:type="dxa" w:w="2160"/>
          </w:tcPr>
          <w:p>
            <w:r>
              <w:rPr>
                <w:rFonts w:ascii="Calibri" w:hAnsi="Calibri"/>
                <w:sz w:val="22"/>
              </w:rPr>
              <w:t>97.9</w:t>
            </w:r>
          </w:p>
        </w:tc>
        <w:tc>
          <w:tcPr>
            <w:tcW w:type="dxa" w:w="2160"/>
          </w:tcPr>
          <w:p>
            <w:r>
              <w:rPr>
                <w:rFonts w:ascii="Calibri" w:hAnsi="Calibri"/>
                <w:sz w:val="22"/>
              </w:rPr>
              <w:t>104.3</w:t>
            </w:r>
          </w:p>
        </w:tc>
      </w:tr>
    </w:tbl>
    <w:p>
      <w:r>
        <w:rPr>
          <w:rFonts w:ascii="Calibri" w:hAnsi="Calibri"/>
          <w:color w:val="525866"/>
          <w:sz w:val="22"/>
        </w:rPr>
        <w:t xml:space="preserve">GM rallied sharply from $78.95 to a peak of $84.35 in the month following Q1 earnings (a +6.8% move), driven by the strong beat and raised guidance. However, the stock has since given back all of those gains and more, trading at $75.80 — below the pre-earnings close. The underperformance vs. SPY (+4.3%) is notable: while the broader market has continued to grind higher, GM has drifted lower, likely reflecting sector-level pressure (XLY also down -2.1%) compounded by Iran conflict uncertainty and the absence of a near-term catalyst. </w:t>
      </w:r>
      <w:r>
        <w:rPr>
          <w:rFonts w:ascii="Calibri" w:hAnsi="Calibri"/>
          <w:b/>
          <w:color w:val="525866"/>
          <w:sz w:val="22"/>
        </w:rPr>
        <w:t>The setup into Q2 earnings is constructive from a positioning standpoint</w:t>
      </w:r>
      <w:r>
        <w:rPr>
          <w:rFonts w:ascii="Calibri" w:hAnsi="Calibri"/>
          <w:color w:val="525866"/>
          <w:sz w:val="22"/>
        </w:rPr>
        <w:t xml:space="preserve"> — the stock is not pricing in a beat, the multiple is deeply discounted, and any positive surprise on GMNA margins or volume recovery could re-rate the stock meaningfully.</w:t>
      </w:r>
    </w:p>
    <w:p>
      <w:r>
        <w:rPr>
          <w:rFonts w:ascii="Calibri" w:hAnsi="Calibri"/>
          <w:b/>
          <w:color w:val="525866"/>
          <w:sz w:val="22"/>
        </w:rPr>
        <w:t xml:space="preserve">Valuation Context: </w:t>
      </w:r>
      <w:r>
        <w:rPr>
          <w:rFonts w:ascii="Calibri" w:hAnsi="Calibri"/>
          <w:color w:val="525866"/>
          <w:sz w:val="22"/>
        </w:rPr>
        <w:t>At $75.80 and FY2026 consensus EPS of $12.86, GM trades at approximately 5.9x forward earnings — a significant discount to the S&amp;P 500’s ~22x multiple and well below historical automotive multiples. The CFO has explicitly stated the company believes it remains “materially undervalued,” citing the software/services opportunity as not yet reflected in the stock.</w:t>
      </w:r>
    </w:p>
    <w:p>
      <w:r>
        <w:rPr>
          <w:rFonts w:ascii="Calibri" w:hAnsi="Calibri"/>
          <w:i/>
          <w:color w:val="525866"/>
          <w:sz w:val="22"/>
        </w:rPr>
        <w:t>Source: Stock Price Data.</w:t>
      </w:r>
    </w:p>
    <w:p>
      <w:r>
        <w:br w:type="page"/>
      </w:r>
    </w:p>
    <w:p>
      <w:pPr>
        <w:pStyle w:val="Heading2"/>
      </w:pPr>
      <w:r>
        <w:rPr>
          <w:rFonts w:ascii="Calibri" w:hAnsi="Calibri"/>
          <w:b/>
          <w:color w:val="3B4259"/>
          <w:sz w:val="28"/>
        </w:rPr>
        <w:t>6. Peer Commentaries — Q2 2026 Read-Through</w:t>
      </w:r>
    </w:p>
    <w:p>
      <w:r>
        <w:rPr>
          <w:rFonts w:ascii="Calibri" w:hAnsi="Calibri"/>
          <w:b/>
          <w:color w:val="525866"/>
          <w:sz w:val="22"/>
        </w:rPr>
        <w:t xml:space="preserve">Key Takeaway: </w:t>
      </w:r>
      <w:r>
        <w:rPr>
          <w:rFonts w:ascii="Calibri" w:hAnsi="Calibri"/>
          <w:color w:val="525866"/>
          <w:sz w:val="22"/>
        </w:rPr>
        <w:t>Peer commentary from the last 60 days (post-Q1 earnings season, covering Q2 2026 outlook) paints a mixed but broadly cautious picture for the auto sector: tariffs remain a structural headwind, EV demand is stabilizing at low penetration rates, North America pricing is holding but incentive pressure is building, and commodity/freight costs are rising due to Middle East tensions. These themes are consistent with GM’s own Q1 commentary and do not suggest a materially different Q2 setup than what management guided.</w:t>
      </w:r>
    </w:p>
    <w:p>
      <w:r>
        <w:rPr>
          <w:rFonts w:ascii="Calibri" w:hAnsi="Calibri"/>
          <w:b/>
          <w:color w:val="525866"/>
          <w:sz w:val="22"/>
        </w:rPr>
        <w:t xml:space="preserve">Note: </w:t>
      </w:r>
      <w:r>
        <w:rPr>
          <w:rFonts w:ascii="Calibri" w:hAnsi="Calibri"/>
          <w:i/>
          <w:color w:val="525866"/>
          <w:sz w:val="22"/>
        </w:rPr>
        <w:t>Only commentary from peers reporting after GM’s Q1 2026 earnings (April 28, 2026) and discussing Q2 2026 or forward outlook is included below. Prior-quarter results commentary has been excluded.</w:t>
      </w:r>
    </w:p>
    <w:p>
      <w:pPr>
        <w:pStyle w:val="Heading3"/>
      </w:pPr>
      <w:r>
        <w:rPr>
          <w:rFonts w:ascii="Calibri" w:hAnsi="Calibri"/>
          <w:b/>
          <w:color w:val="3B4259"/>
          <w:sz w:val="24"/>
        </w:rPr>
        <w:t>Ford Motor (F) — Q1 2026 Earnings Call (April 29, 2026)</w:t>
      </w:r>
    </w:p>
    <w:p>
      <w:r>
        <w:rPr>
          <w:rFonts w:ascii="Calibri" w:hAnsi="Calibri"/>
          <w:b/>
          <w:color w:val="525866"/>
          <w:sz w:val="22"/>
        </w:rPr>
        <w:t xml:space="preserve">Read-Through Relevance: </w:t>
      </w:r>
      <w:r>
        <w:rPr>
          <w:rFonts w:ascii="Calibri" w:hAnsi="Calibri"/>
          <w:color w:val="525866"/>
          <w:sz w:val="22"/>
        </w:rPr>
        <w:t>High. Ford is GM’s closest domestic peer, competing directly in full-size trucks, SUVs, and commercial vehicles. Ford’s Q1 2026 commentary on tariffs, North America pricing, and EV demand is the most direct read-through for GM’s Q2 setup.</w:t>
      </w:r>
    </w:p>
    <w:p>
      <w:pPr>
        <w:pStyle w:val="ListBullet"/>
        <w:ind w:left="360" w:hanging="360"/>
      </w:pPr>
      <w:r>
        <w:rPr>
          <w:rFonts w:ascii="Calibri" w:hAnsi="Calibri"/>
          <w:b/>
          <w:color w:val="525866"/>
          <w:sz w:val="22"/>
        </w:rPr>
        <w:t xml:space="preserve">Tariffs: </w:t>
      </w:r>
      <w:r>
        <w:rPr>
          <w:rFonts w:ascii="Calibri" w:hAnsi="Calibri"/>
          <w:color w:val="525866"/>
          <w:sz w:val="22"/>
        </w:rPr>
        <w:t xml:space="preserve">Ford flagged tariffs as a significant headwind for 2026, estimating approximately $1.5B in net tariff costs for the year after mitigation actions. Ford noted it is actively working to source more components domestically and is passing some costs through pricing. </w:t>
      </w:r>
      <w:r>
        <w:rPr>
          <w:rFonts w:ascii="Calibri" w:hAnsi="Calibri"/>
          <w:b/>
          <w:i/>
          <w:color w:val="525866"/>
          <w:sz w:val="22"/>
        </w:rPr>
        <w:t xml:space="preserve">GM Read-Through: </w:t>
      </w:r>
      <w:r>
        <w:rPr>
          <w:rFonts w:ascii="Calibri" w:hAnsi="Calibri"/>
          <w:i/>
          <w:color w:val="525866"/>
          <w:sz w:val="22"/>
        </w:rPr>
        <w:t>Consistent with GM’s own $2.5–$3.5B gross tariff cost guidance. Ford’s ability to partially offset through pricing is a positive signal for GM’s pricing assumption of “flat, up 0.5%.”</w:t>
      </w:r>
    </w:p>
    <w:p>
      <w:pPr>
        <w:pStyle w:val="ListBullet"/>
        <w:ind w:left="360" w:hanging="360"/>
      </w:pPr>
      <w:r>
        <w:rPr>
          <w:rFonts w:ascii="Calibri" w:hAnsi="Calibri"/>
          <w:b/>
          <w:color w:val="525866"/>
          <w:sz w:val="22"/>
        </w:rPr>
        <w:t xml:space="preserve">North America Demand: </w:t>
      </w:r>
      <w:r>
        <w:rPr>
          <w:rFonts w:ascii="Calibri" w:hAnsi="Calibri"/>
          <w:color w:val="525866"/>
          <w:sz w:val="22"/>
        </w:rPr>
        <w:t xml:space="preserve">Ford noted that North America consumer demand remained resilient in Q1, with truck and SUV demand particularly strong. However, Ford flagged early signs of consumer caution in lower-income segments and noted that fleet demand was robust. </w:t>
      </w:r>
      <w:r>
        <w:rPr>
          <w:rFonts w:ascii="Calibri" w:hAnsi="Calibri"/>
          <w:b/>
          <w:i/>
          <w:color w:val="525866"/>
          <w:sz w:val="22"/>
        </w:rPr>
        <w:t xml:space="preserve">GM Read-Through: </w:t>
      </w:r>
      <w:r>
        <w:rPr>
          <w:rFonts w:ascii="Calibri" w:hAnsi="Calibri"/>
          <w:i/>
          <w:color w:val="525866"/>
          <w:sz w:val="22"/>
        </w:rPr>
        <w:t>Positive for GM’s truck-heavy portfolio. GM’s 42% full-size pickup market share and #1 fleet position should benefit from the same demand dynamics Ford described.</w:t>
      </w:r>
    </w:p>
    <w:p>
      <w:pPr>
        <w:pStyle w:val="ListBullet"/>
        <w:ind w:left="360" w:hanging="360"/>
      </w:pPr>
      <w:r>
        <w:rPr>
          <w:rFonts w:ascii="Calibri" w:hAnsi="Calibri"/>
          <w:b/>
          <w:color w:val="525866"/>
          <w:sz w:val="22"/>
        </w:rPr>
        <w:t xml:space="preserve">EV Demand: </w:t>
      </w:r>
      <w:r>
        <w:rPr>
          <w:rFonts w:ascii="Calibri" w:hAnsi="Calibri"/>
          <w:color w:val="525866"/>
          <w:sz w:val="22"/>
        </w:rPr>
        <w:t xml:space="preserve">Ford noted that EV demand is stabilizing at low single-digit penetration rates in the U.S., consistent with GM’s own observation that the market is stabilizing around 6% of industry sales. Ford is also rightsizing its EV production capacity. </w:t>
      </w:r>
      <w:r>
        <w:rPr>
          <w:rFonts w:ascii="Calibri" w:hAnsi="Calibri"/>
          <w:b/>
          <w:i/>
          <w:color w:val="525866"/>
          <w:sz w:val="22"/>
        </w:rPr>
        <w:t xml:space="preserve">GM Read-Through: </w:t>
      </w:r>
      <w:r>
        <w:rPr>
          <w:rFonts w:ascii="Calibri" w:hAnsi="Calibri"/>
          <w:i/>
          <w:color w:val="525866"/>
          <w:sz w:val="22"/>
        </w:rPr>
        <w:t>Confirms GM’s decision to reduce EV volumes and capture the $1.0–$1.5B capacity rightsizing benefit. No incremental EV demand risk flagged.</w:t>
      </w:r>
    </w:p>
    <w:p>
      <w:pPr>
        <w:pStyle w:val="ListBullet"/>
        <w:ind w:left="360" w:hanging="360"/>
      </w:pPr>
      <w:r>
        <w:rPr>
          <w:rFonts w:ascii="Calibri" w:hAnsi="Calibri"/>
          <w:b/>
          <w:color w:val="525866"/>
          <w:sz w:val="22"/>
        </w:rPr>
        <w:t xml:space="preserve">Incentives: </w:t>
      </w:r>
      <w:r>
        <w:rPr>
          <w:rFonts w:ascii="Calibri" w:hAnsi="Calibri"/>
          <w:color w:val="525866"/>
          <w:sz w:val="22"/>
        </w:rPr>
        <w:t xml:space="preserve">Ford noted that incentive levels are rising modestly across the industry as inventory normalizes, but remain below historical peaks. Ford is being selective about where it deploys incentives. </w:t>
      </w:r>
      <w:r>
        <w:rPr>
          <w:rFonts w:ascii="Calibri" w:hAnsi="Calibri"/>
          <w:b/>
          <w:i/>
          <w:color w:val="525866"/>
          <w:sz w:val="22"/>
        </w:rPr>
        <w:t xml:space="preserve">GM Read-Through: </w:t>
      </w:r>
      <w:r>
        <w:rPr>
          <w:rFonts w:ascii="Calibri" w:hAnsi="Calibri"/>
          <w:i/>
          <w:color w:val="525866"/>
          <w:sz w:val="22"/>
        </w:rPr>
        <w:t>Modest risk to GM’s pricing assumption if incentive pressure accelerates in Q2, particularly on non-truck segments.</w:t>
      </w:r>
    </w:p>
    <w:p>
      <w:pPr>
        <w:pStyle w:val="Heading3"/>
      </w:pPr>
      <w:r>
        <w:rPr>
          <w:rFonts w:ascii="Calibri" w:hAnsi="Calibri"/>
          <w:b/>
          <w:color w:val="3B4259"/>
          <w:sz w:val="24"/>
        </w:rPr>
        <w:t>Ford Motor (F) — UBS Auto &amp; Auto Tech Conference (June 3, 2026)</w:t>
      </w:r>
    </w:p>
    <w:p>
      <w:r>
        <w:rPr>
          <w:rFonts w:ascii="Calibri" w:hAnsi="Calibri"/>
          <w:b/>
          <w:color w:val="525866"/>
          <w:sz w:val="22"/>
        </w:rPr>
        <w:t xml:space="preserve">Read-Through Relevance: </w:t>
      </w:r>
      <w:r>
        <w:rPr>
          <w:rFonts w:ascii="Calibri" w:hAnsi="Calibri"/>
          <w:color w:val="525866"/>
          <w:sz w:val="22"/>
        </w:rPr>
        <w:t>High. This is the most recent peer commentary available, occurring mid-Q2 2026 and directly addressing current-quarter conditions.</w:t>
      </w:r>
    </w:p>
    <w:p>
      <w:pPr>
        <w:pStyle w:val="ListBullet"/>
        <w:ind w:left="360" w:hanging="360"/>
      </w:pPr>
      <w:r>
        <w:rPr>
          <w:rFonts w:ascii="Calibri" w:hAnsi="Calibri"/>
          <w:b/>
          <w:color w:val="525866"/>
          <w:sz w:val="22"/>
        </w:rPr>
        <w:t xml:space="preserve">Q2 2026 Demand Environment: </w:t>
      </w:r>
      <w:r>
        <w:rPr>
          <w:rFonts w:ascii="Calibri" w:hAnsi="Calibri"/>
          <w:color w:val="525866"/>
          <w:sz w:val="22"/>
        </w:rPr>
        <w:t xml:space="preserve">Ford management noted at the UBS conference that North America demand trends in Q2 have been broadly consistent with Q1, with no material deterioration. Truck and commercial vehicle demand remains healthy. </w:t>
      </w:r>
      <w:r>
        <w:rPr>
          <w:rFonts w:ascii="Calibri" w:hAnsi="Calibri"/>
          <w:b/>
          <w:i/>
          <w:color w:val="525866"/>
          <w:sz w:val="22"/>
        </w:rPr>
        <w:t xml:space="preserve">GM Read-Through: </w:t>
      </w:r>
      <w:r>
        <w:rPr>
          <w:rFonts w:ascii="Calibri" w:hAnsi="Calibri"/>
          <w:i/>
          <w:color w:val="525866"/>
          <w:sz w:val="22"/>
        </w:rPr>
        <w:t>Constructive for GM’s Q2 volume recovery thesis. If demand is holding, the primary driver of GM’s Q2 improvement should be the normalization of production (heavy-duty truck downtime behind them) rather than demand-side risk.</w:t>
      </w:r>
    </w:p>
    <w:p>
      <w:pPr>
        <w:pStyle w:val="ListBullet"/>
        <w:ind w:left="360" w:hanging="360"/>
      </w:pPr>
      <w:r>
        <w:rPr>
          <w:rFonts w:ascii="Calibri" w:hAnsi="Calibri"/>
          <w:b/>
          <w:color w:val="525866"/>
          <w:sz w:val="22"/>
        </w:rPr>
        <w:t xml:space="preserve">Tariff Mitigation Progress: </w:t>
      </w:r>
      <w:r>
        <w:rPr>
          <w:rFonts w:ascii="Calibri" w:hAnsi="Calibri"/>
          <w:color w:val="525866"/>
          <w:sz w:val="22"/>
        </w:rPr>
        <w:t xml:space="preserve">Ford indicated it is making progress on tariff mitigation through supply chain adjustments and is on track with its full-year tariff cost estimate. No incremental tariff surprises flagged for Q2. </w:t>
      </w:r>
      <w:r>
        <w:rPr>
          <w:rFonts w:ascii="Calibri" w:hAnsi="Calibri"/>
          <w:b/>
          <w:i/>
          <w:color w:val="525866"/>
          <w:sz w:val="22"/>
        </w:rPr>
        <w:t xml:space="preserve">GM Read-Through: </w:t>
      </w:r>
      <w:r>
        <w:rPr>
          <w:rFonts w:ascii="Calibri" w:hAnsi="Calibri"/>
          <w:i/>
          <w:color w:val="525866"/>
          <w:sz w:val="22"/>
        </w:rPr>
        <w:t>Positive signal that the tariff environment has not materially worsened since Q1 earnings. GM’s $2.5–$3.5B gross tariff cost guidance appears intact.</w:t>
      </w:r>
    </w:p>
    <w:p>
      <w:pPr>
        <w:pStyle w:val="ListBullet"/>
        <w:ind w:left="360" w:hanging="360"/>
      </w:pPr>
      <w:r>
        <w:rPr>
          <w:rFonts w:ascii="Calibri" w:hAnsi="Calibri"/>
          <w:b/>
          <w:color w:val="525866"/>
          <w:sz w:val="22"/>
        </w:rPr>
        <w:t xml:space="preserve">Software &amp; Connectivity: </w:t>
      </w:r>
      <w:r>
        <w:rPr>
          <w:rFonts w:ascii="Calibri" w:hAnsi="Calibri"/>
          <w:color w:val="525866"/>
          <w:sz w:val="22"/>
        </w:rPr>
        <w:t xml:space="preserve">Ford highlighted its connected vehicle and software services as a growing revenue stream, though acknowledged it is earlier in the monetization journey than GM. </w:t>
      </w:r>
      <w:r>
        <w:rPr>
          <w:rFonts w:ascii="Calibri" w:hAnsi="Calibri"/>
          <w:b/>
          <w:i/>
          <w:color w:val="525866"/>
          <w:sz w:val="22"/>
        </w:rPr>
        <w:t xml:space="preserve">GM Read-Through: </w:t>
      </w:r>
      <w:r>
        <w:rPr>
          <w:rFonts w:ascii="Calibri" w:hAnsi="Calibri"/>
          <w:i/>
          <w:color w:val="525866"/>
          <w:sz w:val="22"/>
        </w:rPr>
        <w:t>Reinforces GM’s positioning as the industry leader in software monetization (OnStar, Super Cruise). GM’s $3.1B recognized revenue target and $7.5B deferred revenue balance are well ahead of Ford’s trajectory.</w:t>
      </w:r>
    </w:p>
    <w:p>
      <w:pPr>
        <w:pStyle w:val="Heading3"/>
      </w:pPr>
      <w:r>
        <w:rPr>
          <w:rFonts w:ascii="Calibri" w:hAnsi="Calibri"/>
          <w:b/>
          <w:color w:val="3B4259"/>
          <w:sz w:val="24"/>
        </w:rPr>
        <w:t>Stellantis (STLA) — Q1 2026 Earnings Call (April 30, 2026)</w:t>
      </w:r>
    </w:p>
    <w:p>
      <w:r>
        <w:rPr>
          <w:rFonts w:ascii="Calibri" w:hAnsi="Calibri"/>
          <w:b/>
          <w:color w:val="525866"/>
          <w:sz w:val="22"/>
        </w:rPr>
        <w:t xml:space="preserve">Read-Through Relevance: </w:t>
      </w:r>
      <w:r>
        <w:rPr>
          <w:rFonts w:ascii="Calibri" w:hAnsi="Calibri"/>
          <w:color w:val="525866"/>
          <w:sz w:val="22"/>
        </w:rPr>
        <w:t>Moderate. Stellantis competes with GM in trucks (Ram vs. Chevy/GMC), SUVs, and commercial vehicles. However, Stellantis is in a more distressed operational position, making direct margin comparisons less meaningful. The demand and pricing commentary is the most relevant read-through.</w:t>
      </w:r>
    </w:p>
    <w:p>
      <w:pPr>
        <w:pStyle w:val="ListBullet"/>
        <w:ind w:left="360" w:hanging="360"/>
      </w:pPr>
      <w:r>
        <w:rPr>
          <w:rFonts w:ascii="Calibri" w:hAnsi="Calibri"/>
          <w:b/>
          <w:color w:val="525866"/>
          <w:sz w:val="22"/>
        </w:rPr>
        <w:t xml:space="preserve">North America Pricing &amp; Inventory: </w:t>
      </w:r>
      <w:r>
        <w:rPr>
          <w:rFonts w:ascii="Calibri" w:hAnsi="Calibri"/>
          <w:color w:val="525866"/>
          <w:sz w:val="22"/>
        </w:rPr>
        <w:t xml:space="preserve">Stellantis flagged elevated inventory levels and rising incentive pressure in North America as it works to clear excess stock from its 2025 production overhang. Stellantis noted that the competitive pricing environment is intensifying, particularly in the truck segment. </w:t>
      </w:r>
      <w:r>
        <w:rPr>
          <w:rFonts w:ascii="Calibri" w:hAnsi="Calibri"/>
          <w:b/>
          <w:i/>
          <w:color w:val="525866"/>
          <w:sz w:val="22"/>
        </w:rPr>
        <w:t xml:space="preserve">GM Read-Through: </w:t>
      </w:r>
      <w:r>
        <w:rPr>
          <w:rFonts w:ascii="Calibri" w:hAnsi="Calibri"/>
          <w:i/>
          <w:color w:val="525866"/>
          <w:sz w:val="22"/>
        </w:rPr>
        <w:t>Modest negative read-through. If Stellantis is aggressively discounting Ram trucks to clear inventory, this could put pressure on GM’s Chevy/GMC truck pricing. However, GM’s lean inventory position (47 days of supply) means it is less exposed to this dynamic.</w:t>
      </w:r>
    </w:p>
    <w:p>
      <w:pPr>
        <w:pStyle w:val="ListBullet"/>
        <w:ind w:left="360" w:hanging="360"/>
      </w:pPr>
      <w:r>
        <w:rPr>
          <w:rFonts w:ascii="Calibri" w:hAnsi="Calibri"/>
          <w:b/>
          <w:color w:val="525866"/>
          <w:sz w:val="22"/>
        </w:rPr>
        <w:t xml:space="preserve">Tariff Impact: </w:t>
      </w:r>
      <w:r>
        <w:rPr>
          <w:rFonts w:ascii="Calibri" w:hAnsi="Calibri"/>
          <w:color w:val="525866"/>
          <w:sz w:val="22"/>
        </w:rPr>
        <w:t xml:space="preserve">Stellantis noted that tariffs are a significant headwind given its higher proportion of non-U.S. manufactured vehicles. The company is accelerating its U.S. production footprint expansion. </w:t>
      </w:r>
      <w:r>
        <w:rPr>
          <w:rFonts w:ascii="Calibri" w:hAnsi="Calibri"/>
          <w:b/>
          <w:i/>
          <w:color w:val="525866"/>
          <w:sz w:val="22"/>
        </w:rPr>
        <w:t xml:space="preserve">GM Read-Through: </w:t>
      </w:r>
      <w:r>
        <w:rPr>
          <w:rFonts w:ascii="Calibri" w:hAnsi="Calibri"/>
          <w:i/>
          <w:color w:val="525866"/>
          <w:sz w:val="22"/>
        </w:rPr>
        <w:t>Neutral to positive for GM, which has a more domestically-oriented production footprint and has already absorbed its tariff costs into guidance.</w:t>
      </w:r>
    </w:p>
    <w:p>
      <w:pPr>
        <w:pStyle w:val="ListBullet"/>
        <w:ind w:left="360" w:hanging="360"/>
      </w:pPr>
      <w:r>
        <w:rPr>
          <w:rFonts w:ascii="Calibri" w:hAnsi="Calibri"/>
          <w:b/>
          <w:color w:val="525866"/>
          <w:sz w:val="22"/>
        </w:rPr>
        <w:t xml:space="preserve">EV Strategy Reset: </w:t>
      </w:r>
      <w:r>
        <w:rPr>
          <w:rFonts w:ascii="Calibri" w:hAnsi="Calibri"/>
          <w:color w:val="525866"/>
          <w:sz w:val="22"/>
        </w:rPr>
        <w:t xml:space="preserve">Stellantis announced a significant reset of its EV strategy, reducing near-term EV volume targets and focusing on profitability over market share. </w:t>
      </w:r>
      <w:r>
        <w:rPr>
          <w:rFonts w:ascii="Calibri" w:hAnsi="Calibri"/>
          <w:b/>
          <w:i/>
          <w:color w:val="525866"/>
          <w:sz w:val="22"/>
        </w:rPr>
        <w:t xml:space="preserve">GM Read-Through: </w:t>
      </w:r>
      <w:r>
        <w:rPr>
          <w:rFonts w:ascii="Calibri" w:hAnsi="Calibri"/>
          <w:i/>
          <w:color w:val="525866"/>
          <w:sz w:val="22"/>
        </w:rPr>
        <w:t>Confirms the industry-wide trend of EV demand rationalization. GM’s own decision to reduce EV volumes and capture the capacity rightsizing benefit is validated by Stellantis’s similar pivot.</w:t>
      </w:r>
    </w:p>
    <w:p>
      <w:pPr>
        <w:pStyle w:val="Heading3"/>
      </w:pPr>
      <w:r>
        <w:rPr>
          <w:rFonts w:ascii="Calibri" w:hAnsi="Calibri"/>
          <w:b/>
          <w:color w:val="3B4259"/>
          <w:sz w:val="24"/>
        </w:rPr>
        <w:t>Stellantis (STLA) — Investor Day (May 21, 2026)</w:t>
      </w:r>
    </w:p>
    <w:p>
      <w:r>
        <w:rPr>
          <w:rFonts w:ascii="Calibri" w:hAnsi="Calibri"/>
          <w:b/>
          <w:color w:val="525866"/>
          <w:sz w:val="22"/>
        </w:rPr>
        <w:t xml:space="preserve">Read-Through Relevance: </w:t>
      </w:r>
      <w:r>
        <w:rPr>
          <w:rFonts w:ascii="Calibri" w:hAnsi="Calibri"/>
          <w:color w:val="525866"/>
          <w:sz w:val="22"/>
        </w:rPr>
        <w:t>Moderate. Stellantis’s Investor Day provided a detailed look at the company’s multi-year strategy, including North America recovery plans and EV roadmap. The most relevant read-through for GM is the broader industry demand and competitive landscape commentary.</w:t>
      </w:r>
    </w:p>
    <w:p>
      <w:pPr>
        <w:pStyle w:val="ListBullet"/>
        <w:ind w:left="360" w:hanging="360"/>
      </w:pPr>
      <w:r>
        <w:rPr>
          <w:rFonts w:ascii="Calibri" w:hAnsi="Calibri"/>
          <w:b/>
          <w:color w:val="525866"/>
          <w:sz w:val="22"/>
        </w:rPr>
        <w:t xml:space="preserve">North America Recovery: </w:t>
      </w:r>
      <w:r>
        <w:rPr>
          <w:rFonts w:ascii="Calibri" w:hAnsi="Calibri"/>
          <w:color w:val="525866"/>
          <w:sz w:val="22"/>
        </w:rPr>
        <w:t xml:space="preserve">Stellantis outlined a multi-year plan to recover North America profitability, targeting a return to positive EBIT margins by 2027. The company acknowledged that the North America market remains competitive but sees truck and SUV demand as structurally resilient. </w:t>
      </w:r>
      <w:r>
        <w:rPr>
          <w:rFonts w:ascii="Calibri" w:hAnsi="Calibri"/>
          <w:b/>
          <w:i/>
          <w:color w:val="525866"/>
          <w:sz w:val="22"/>
        </w:rPr>
        <w:t xml:space="preserve">GM Read-Through: </w:t>
      </w:r>
      <w:r>
        <w:rPr>
          <w:rFonts w:ascii="Calibri" w:hAnsi="Calibri"/>
          <w:i/>
          <w:color w:val="525866"/>
          <w:sz w:val="22"/>
        </w:rPr>
        <w:t>Positive for GM’s truck-heavy strategy. Stellantis’s acknowledgment of structural truck demand resilience validates GM’s core business model.</w:t>
      </w:r>
    </w:p>
    <w:p>
      <w:pPr>
        <w:pStyle w:val="ListBullet"/>
        <w:ind w:left="360" w:hanging="360"/>
      </w:pPr>
      <w:r>
        <w:rPr>
          <w:rFonts w:ascii="Calibri" w:hAnsi="Calibri"/>
          <w:b/>
          <w:color w:val="525866"/>
          <w:sz w:val="22"/>
        </w:rPr>
        <w:t xml:space="preserve">Software &amp; Digital Services: </w:t>
      </w:r>
      <w:r>
        <w:rPr>
          <w:rFonts w:ascii="Calibri" w:hAnsi="Calibri"/>
          <w:color w:val="525866"/>
          <w:sz w:val="22"/>
        </w:rPr>
        <w:t xml:space="preserve">Stellantis highlighted its software-defined vehicle ambitions but acknowledged it is several years behind GM and Ford in monetization. The company is investing heavily in connectivity and over-the-air update capabilities. </w:t>
      </w:r>
      <w:r>
        <w:rPr>
          <w:rFonts w:ascii="Calibri" w:hAnsi="Calibri"/>
          <w:b/>
          <w:i/>
          <w:color w:val="525866"/>
          <w:sz w:val="22"/>
        </w:rPr>
        <w:t xml:space="preserve">GM Read-Through: </w:t>
      </w:r>
      <w:r>
        <w:rPr>
          <w:rFonts w:ascii="Calibri" w:hAnsi="Calibri"/>
          <w:i/>
          <w:color w:val="525866"/>
          <w:sz w:val="22"/>
        </w:rPr>
        <w:t>Reinforces GM’s competitive moat in software services. GM’s OnStar/Super Cruise ecosystem and $7.5B deferred revenue target represent a significant lead over Stellantis.</w:t>
      </w:r>
    </w:p>
    <w:p>
      <w:pPr>
        <w:pStyle w:val="ListBullet"/>
        <w:ind w:left="360" w:hanging="360"/>
      </w:pPr>
      <w:r>
        <w:rPr>
          <w:rFonts w:ascii="Calibri" w:hAnsi="Calibri"/>
          <w:b/>
          <w:color w:val="525866"/>
          <w:sz w:val="22"/>
        </w:rPr>
        <w:t xml:space="preserve">Commodity &amp; Freight Costs: </w:t>
      </w:r>
      <w:r>
        <w:rPr>
          <w:rFonts w:ascii="Calibri" w:hAnsi="Calibri"/>
          <w:color w:val="525866"/>
          <w:sz w:val="22"/>
        </w:rPr>
        <w:t xml:space="preserve">Stellantis flagged rising commodity and freight costs as a headwind for 2026, citing Middle East tensions (Iran conflict) as a key driver. The company is working to hedge and mitigate these costs. </w:t>
      </w:r>
      <w:r>
        <w:rPr>
          <w:rFonts w:ascii="Calibri" w:hAnsi="Calibri"/>
          <w:b/>
          <w:i/>
          <w:color w:val="525866"/>
          <w:sz w:val="22"/>
        </w:rPr>
        <w:t xml:space="preserve">GM Read-Through: </w:t>
      </w:r>
      <w:r>
        <w:rPr>
          <w:rFonts w:ascii="Calibri" w:hAnsi="Calibri"/>
          <w:i/>
          <w:color w:val="525866"/>
          <w:sz w:val="22"/>
        </w:rPr>
        <w:t>Confirms GM’s own Iran conflict commentary. The commodity/freight cost headwind is an industry-wide issue, not GM-specific. GM’s guidance already incorporates this uncertainty.</w:t>
      </w:r>
    </w:p>
    <w:p>
      <w:pPr>
        <w:pStyle w:val="Heading3"/>
      </w:pPr>
      <w:r>
        <w:rPr>
          <w:rFonts w:ascii="Calibri" w:hAnsi="Calibri"/>
          <w:b/>
          <w:color w:val="3B4259"/>
          <w:sz w:val="24"/>
        </w:rPr>
        <w:t>Toyota (TM) — Q4 FY2026 Earnings Call (May 8, 2026)</w:t>
      </w:r>
    </w:p>
    <w:p>
      <w:r>
        <w:rPr>
          <w:rFonts w:ascii="Calibri" w:hAnsi="Calibri"/>
          <w:b/>
          <w:color w:val="525866"/>
          <w:sz w:val="22"/>
        </w:rPr>
        <w:t xml:space="preserve">Read-Through Relevance: </w:t>
      </w:r>
      <w:r>
        <w:rPr>
          <w:rFonts w:ascii="Calibri" w:hAnsi="Calibri"/>
          <w:color w:val="525866"/>
          <w:sz w:val="22"/>
        </w:rPr>
        <w:t>Moderate. Toyota’s fiscal year ends in March, so its Q4 FY2026 covers January–March 2026 (overlapping with GM’s Q1 2026). The forward outlook commentary for Toyota’s FY2027 (April 2026–March 2027) is the most relevant read-through for GM’s Q2 2026 setup.</w:t>
      </w:r>
    </w:p>
    <w:p>
      <w:pPr>
        <w:pStyle w:val="ListBullet"/>
        <w:ind w:left="360" w:hanging="360"/>
      </w:pPr>
      <w:r>
        <w:rPr>
          <w:rFonts w:ascii="Calibri" w:hAnsi="Calibri"/>
          <w:b/>
          <w:color w:val="525866"/>
          <w:sz w:val="22"/>
        </w:rPr>
        <w:t xml:space="preserve">North America Demand Outlook: </w:t>
      </w:r>
      <w:r>
        <w:rPr>
          <w:rFonts w:ascii="Calibri" w:hAnsi="Calibri"/>
          <w:color w:val="525866"/>
          <w:sz w:val="22"/>
        </w:rPr>
        <w:t xml:space="preserve">Toyota guided for stable North America demand in its FY2027, with hybrid models expected to be the primary growth driver. Toyota noted that pure EV demand remains below expectations and is adjusting its production mix accordingly. </w:t>
      </w:r>
      <w:r>
        <w:rPr>
          <w:rFonts w:ascii="Calibri" w:hAnsi="Calibri"/>
          <w:b/>
          <w:i/>
          <w:color w:val="525866"/>
          <w:sz w:val="22"/>
        </w:rPr>
        <w:t xml:space="preserve">GM Read-Through: </w:t>
      </w:r>
      <w:r>
        <w:rPr>
          <w:rFonts w:ascii="Calibri" w:hAnsi="Calibri"/>
          <w:i/>
          <w:color w:val="525866"/>
          <w:sz w:val="22"/>
        </w:rPr>
        <w:t>Consistent with GM’s EV demand stabilization commentary. Toyota’s hybrid pivot also validates GM’s multi-energy strategy (ICE + EV + hybrid).</w:t>
      </w:r>
    </w:p>
    <w:p>
      <w:pPr>
        <w:pStyle w:val="ListBullet"/>
        <w:ind w:left="360" w:hanging="360"/>
      </w:pPr>
      <w:r>
        <w:rPr>
          <w:rFonts w:ascii="Calibri" w:hAnsi="Calibri"/>
          <w:b/>
          <w:color w:val="525866"/>
          <w:sz w:val="22"/>
        </w:rPr>
        <w:t xml:space="preserve">Tariff Impact: </w:t>
      </w:r>
      <w:r>
        <w:rPr>
          <w:rFonts w:ascii="Calibri" w:hAnsi="Calibri"/>
          <w:color w:val="525866"/>
          <w:sz w:val="22"/>
        </w:rPr>
        <w:t xml:space="preserve">Toyota flagged significant tariff headwinds for its North America operations, estimating a material negative impact on FY2027 profitability. Toyota is accelerating U.S. production localization. </w:t>
      </w:r>
      <w:r>
        <w:rPr>
          <w:rFonts w:ascii="Calibri" w:hAnsi="Calibri"/>
          <w:b/>
          <w:i/>
          <w:color w:val="525866"/>
          <w:sz w:val="22"/>
        </w:rPr>
        <w:t xml:space="preserve">GM Read-Through: </w:t>
      </w:r>
      <w:r>
        <w:rPr>
          <w:rFonts w:ascii="Calibri" w:hAnsi="Calibri"/>
          <w:i/>
          <w:color w:val="525866"/>
          <w:sz w:val="22"/>
        </w:rPr>
        <w:t>Neutral for GM, which has a more domestically-oriented production base. Toyota’s tariff pain is proportionally larger given its higher import content.</w:t>
      </w:r>
    </w:p>
    <w:p>
      <w:pPr>
        <w:pStyle w:val="ListBullet"/>
        <w:ind w:left="360" w:hanging="360"/>
      </w:pPr>
      <w:r>
        <w:rPr>
          <w:rFonts w:ascii="Calibri" w:hAnsi="Calibri"/>
          <w:b/>
          <w:color w:val="525866"/>
          <w:sz w:val="22"/>
        </w:rPr>
        <w:t xml:space="preserve">Commodity Costs: </w:t>
      </w:r>
      <w:r>
        <w:rPr>
          <w:rFonts w:ascii="Calibri" w:hAnsi="Calibri"/>
          <w:color w:val="525866"/>
          <w:sz w:val="22"/>
        </w:rPr>
        <w:t xml:space="preserve">Toyota flagged rising commodity costs (steel, aluminum, rare earth materials) as a headwind for FY2027, citing Middle East tensions as a key driver. The company expects a JPY 313B negative impact from soaring material prices. </w:t>
      </w:r>
      <w:r>
        <w:rPr>
          <w:rFonts w:ascii="Calibri" w:hAnsi="Calibri"/>
          <w:b/>
          <w:i/>
          <w:color w:val="525866"/>
          <w:sz w:val="22"/>
        </w:rPr>
        <w:t xml:space="preserve">GM Read-Through: </w:t>
      </w:r>
      <w:r>
        <w:rPr>
          <w:rFonts w:ascii="Calibri" w:hAnsi="Calibri"/>
          <w:i/>
          <w:color w:val="525866"/>
          <w:sz w:val="22"/>
        </w:rPr>
        <w:t>Confirms the industry-wide commodity cost headwind. GM’s Iran conflict caution is well-founded and consistent with Toyota’s own assessment.</w:t>
      </w:r>
    </w:p>
    <w:p>
      <w:pPr>
        <w:pStyle w:val="Heading3"/>
      </w:pPr>
      <w:r>
        <w:rPr>
          <w:rFonts w:ascii="Calibri" w:hAnsi="Calibri"/>
          <w:b/>
          <w:color w:val="3B4259"/>
          <w:sz w:val="24"/>
        </w:rPr>
        <w:t>Honda (HMC) — Q4 FY2026 Earnings Call (May 14, 2026)</w:t>
      </w:r>
    </w:p>
    <w:p>
      <w:r>
        <w:rPr>
          <w:rFonts w:ascii="Calibri" w:hAnsi="Calibri"/>
          <w:b/>
          <w:color w:val="525866"/>
          <w:sz w:val="22"/>
        </w:rPr>
        <w:t xml:space="preserve">Read-Through Relevance: </w:t>
      </w:r>
      <w:r>
        <w:rPr>
          <w:rFonts w:ascii="Calibri" w:hAnsi="Calibri"/>
          <w:color w:val="525866"/>
          <w:sz w:val="22"/>
        </w:rPr>
        <w:t>Moderate. Honda’s fiscal year also ends in March. Its forward outlook for FY2027 (April 2026–March 2027) covers the period relevant to GM’s Q2 2026.</w:t>
      </w:r>
    </w:p>
    <w:p>
      <w:pPr>
        <w:pStyle w:val="ListBullet"/>
        <w:ind w:left="360" w:hanging="360"/>
      </w:pPr>
      <w:r>
        <w:rPr>
          <w:rFonts w:ascii="Calibri" w:hAnsi="Calibri"/>
          <w:b/>
          <w:color w:val="525866"/>
          <w:sz w:val="22"/>
        </w:rPr>
        <w:t xml:space="preserve">EV Strategy Reset: </w:t>
      </w:r>
      <w:r>
        <w:rPr>
          <w:rFonts w:ascii="Calibri" w:hAnsi="Calibri"/>
          <w:color w:val="525866"/>
          <w:sz w:val="22"/>
        </w:rPr>
        <w:t xml:space="preserve">Honda announced a dramatic EV strategy reset, canceling North America-produced EV models and recording JPY 1,577.8B in total EV-related losses for FY2026. For FY2027, Honda set EV-related losses at JPY 500B and is pivoting to gasoline hybrid models in North America. </w:t>
      </w:r>
      <w:r>
        <w:rPr>
          <w:rFonts w:ascii="Calibri" w:hAnsi="Calibri"/>
          <w:b/>
          <w:i/>
          <w:color w:val="525866"/>
          <w:sz w:val="22"/>
        </w:rPr>
        <w:t xml:space="preserve">GM Read-Through: </w:t>
      </w:r>
      <w:r>
        <w:rPr>
          <w:rFonts w:ascii="Calibri" w:hAnsi="Calibri"/>
          <w:i/>
          <w:color w:val="525866"/>
          <w:sz w:val="22"/>
        </w:rPr>
        <w:t>Strongly validates GM’s EV demand rationalization strategy. Honda’s dramatic pivot confirms that the EV market is not developing as fast as originally projected, and GM’s decision to reduce EV volumes and capture the capacity rightsizing benefit is the right strategic call.</w:t>
      </w:r>
    </w:p>
    <w:p>
      <w:pPr>
        <w:pStyle w:val="ListBullet"/>
        <w:ind w:left="360" w:hanging="360"/>
      </w:pPr>
      <w:r>
        <w:rPr>
          <w:rFonts w:ascii="Calibri" w:hAnsi="Calibri"/>
          <w:b/>
          <w:color w:val="525866"/>
          <w:sz w:val="22"/>
        </w:rPr>
        <w:t xml:space="preserve">North America Pricing: </w:t>
      </w:r>
      <w:r>
        <w:rPr>
          <w:rFonts w:ascii="Calibri" w:hAnsi="Calibri"/>
          <w:color w:val="525866"/>
          <w:sz w:val="22"/>
        </w:rPr>
        <w:t xml:space="preserve">Honda noted that incentive pressure increased in North America during FY2026, with a JPY 47.8B negative impact from higher incentives. However, effective price revisions partially offset this, resulting in a positive JPY 222B price/cost impact. </w:t>
      </w:r>
      <w:r>
        <w:rPr>
          <w:rFonts w:ascii="Calibri" w:hAnsi="Calibri"/>
          <w:b/>
          <w:i/>
          <w:color w:val="525866"/>
          <w:sz w:val="22"/>
        </w:rPr>
        <w:t xml:space="preserve">GM Read-Through: </w:t>
      </w:r>
      <w:r>
        <w:rPr>
          <w:rFonts w:ascii="Calibri" w:hAnsi="Calibri"/>
          <w:i/>
          <w:color w:val="525866"/>
          <w:sz w:val="22"/>
        </w:rPr>
        <w:t>Mixed. The incentive pressure is a modest negative read-through for GM’s pricing assumption, but Honda’s ability to offset through price revisions is consistent with GM’s “flat, up 0.5%” pricing guidance.</w:t>
      </w:r>
    </w:p>
    <w:p>
      <w:pPr>
        <w:pStyle w:val="ListBullet"/>
        <w:ind w:left="360" w:hanging="360"/>
      </w:pPr>
      <w:r>
        <w:rPr>
          <w:rFonts w:ascii="Calibri" w:hAnsi="Calibri"/>
          <w:b/>
          <w:color w:val="525866"/>
          <w:sz w:val="22"/>
        </w:rPr>
        <w:t xml:space="preserve">Tariff &amp; Commodity Costs: </w:t>
      </w:r>
      <w:r>
        <w:rPr>
          <w:rFonts w:ascii="Calibri" w:hAnsi="Calibri"/>
          <w:color w:val="525866"/>
          <w:sz w:val="22"/>
        </w:rPr>
        <w:t xml:space="preserve">Honda reported a JPY 346.9B tariff impact for FY2026 and expects continued headwinds in FY2027. Commodity costs are also rising due to Middle East tensions, with a JPY 313B negative impact expected. </w:t>
      </w:r>
      <w:r>
        <w:rPr>
          <w:rFonts w:ascii="Calibri" w:hAnsi="Calibri"/>
          <w:b/>
          <w:i/>
          <w:color w:val="525866"/>
          <w:sz w:val="22"/>
        </w:rPr>
        <w:t xml:space="preserve">GM Read-Through: </w:t>
      </w:r>
      <w:r>
        <w:rPr>
          <w:rFonts w:ascii="Calibri" w:hAnsi="Calibri"/>
          <w:i/>
          <w:color w:val="525866"/>
          <w:sz w:val="22"/>
        </w:rPr>
        <w:t>Confirms the industry-wide tariff and commodity cost headwinds. GM’s guidance framework already incorporates these risks.</w:t>
      </w:r>
    </w:p>
    <w:p>
      <w:pPr>
        <w:pStyle w:val="Heading3"/>
      </w:pPr>
      <w:r>
        <w:rPr>
          <w:rFonts w:ascii="Calibri" w:hAnsi="Calibri"/>
          <w:b/>
          <w:color w:val="3B4259"/>
          <w:sz w:val="24"/>
        </w:rPr>
        <w:t>Peer Commentary Summary — Key Themes for GM Q2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Peer Signal</w:t>
            </w:r>
          </w:p>
        </w:tc>
        <w:tc>
          <w:tcPr>
            <w:tcW w:type="dxa" w:w="2160"/>
            <w:shd w:val="clear" w:color="auto" w:fill="3B4259"/>
          </w:tcPr>
          <w:p>
            <w:r>
              <w:rPr>
                <w:rFonts w:ascii="Calibri" w:hAnsi="Calibri"/>
                <w:b/>
                <w:color w:val="FFFFFF"/>
                <w:sz w:val="22"/>
              </w:rPr>
              <w:t>GM Read-Through</w:t>
            </w:r>
          </w:p>
        </w:tc>
        <w:tc>
          <w:tcPr>
            <w:tcW w:type="dxa" w:w="2160"/>
            <w:shd w:val="clear" w:color="auto" w:fill="3B4259"/>
          </w:tcPr>
          <w:p>
            <w:r>
              <w:rPr>
                <w:rFonts w:ascii="Calibri" w:hAnsi="Calibri"/>
                <w:b/>
                <w:color w:val="FFFFFF"/>
                <w:sz w:val="22"/>
              </w:rPr>
              <w:t>Net Impact</w:t>
            </w:r>
          </w:p>
        </w:tc>
      </w:tr>
      <w:tr>
        <w:tc>
          <w:tcPr>
            <w:tcW w:type="dxa" w:w="2160"/>
          </w:tcPr>
          <w:p>
            <w:r>
              <w:rPr>
                <w:rFonts w:ascii="Calibri" w:hAnsi="Calibri"/>
                <w:sz w:val="22"/>
              </w:rPr>
              <w:t>North America Truck/SUV Demand</w:t>
            </w:r>
          </w:p>
        </w:tc>
        <w:tc>
          <w:tcPr>
            <w:tcW w:type="dxa" w:w="2160"/>
          </w:tcPr>
          <w:p>
            <w:r>
              <w:rPr>
                <w:rFonts w:ascii="Calibri" w:hAnsi="Calibri"/>
                <w:sz w:val="22"/>
              </w:rPr>
              <w:t>Resilient; Ford &amp; Toyota both positive</w:t>
            </w:r>
          </w:p>
        </w:tc>
        <w:tc>
          <w:tcPr>
            <w:tcW w:type="dxa" w:w="2160"/>
          </w:tcPr>
          <w:p>
            <w:r>
              <w:rPr>
                <w:rFonts w:ascii="Calibri" w:hAnsi="Calibri"/>
                <w:sz w:val="22"/>
              </w:rPr>
              <w:t>Supports GM’s volume recovery thesis as production normalizes</w:t>
            </w:r>
          </w:p>
        </w:tc>
        <w:tc>
          <w:tcPr>
            <w:tcW w:type="dxa" w:w="2160"/>
          </w:tcPr>
          <w:p>
            <w:r>
              <w:rPr>
                <w:rFonts w:ascii="Calibri" w:hAnsi="Calibri"/>
                <w:b/>
                <w:color w:val="30A46C"/>
                <w:sz w:val="22"/>
              </w:rPr>
              <w:t>Positive</w:t>
            </w:r>
          </w:p>
        </w:tc>
      </w:tr>
      <w:tr>
        <w:tc>
          <w:tcPr>
            <w:tcW w:type="dxa" w:w="2160"/>
          </w:tcPr>
          <w:p>
            <w:r>
              <w:rPr>
                <w:rFonts w:ascii="Calibri" w:hAnsi="Calibri"/>
                <w:sz w:val="22"/>
              </w:rPr>
              <w:t>EV Demand</w:t>
            </w:r>
          </w:p>
        </w:tc>
        <w:tc>
          <w:tcPr>
            <w:tcW w:type="dxa" w:w="2160"/>
          </w:tcPr>
          <w:p>
            <w:r>
              <w:rPr>
                <w:rFonts w:ascii="Calibri" w:hAnsi="Calibri"/>
                <w:sz w:val="22"/>
              </w:rPr>
              <w:t>Stabilizing at low penetration; Honda canceled NA EV models</w:t>
            </w:r>
          </w:p>
        </w:tc>
        <w:tc>
          <w:tcPr>
            <w:tcW w:type="dxa" w:w="2160"/>
          </w:tcPr>
          <w:p>
            <w:r>
              <w:rPr>
                <w:rFonts w:ascii="Calibri" w:hAnsi="Calibri"/>
                <w:sz w:val="22"/>
              </w:rPr>
              <w:t>Validates GM’s EV volume reduction and $1–$1.5B rightsizing benefit</w:t>
            </w:r>
          </w:p>
        </w:tc>
        <w:tc>
          <w:tcPr>
            <w:tcW w:type="dxa" w:w="2160"/>
          </w:tcPr>
          <w:p>
            <w:r>
              <w:rPr>
                <w:rFonts w:ascii="Calibri" w:hAnsi="Calibri"/>
                <w:b/>
                <w:color w:val="30A46C"/>
                <w:sz w:val="22"/>
              </w:rPr>
              <w:t>Positive</w:t>
            </w:r>
          </w:p>
        </w:tc>
      </w:tr>
      <w:tr>
        <w:tc>
          <w:tcPr>
            <w:tcW w:type="dxa" w:w="2160"/>
          </w:tcPr>
          <w:p>
            <w:r>
              <w:rPr>
                <w:rFonts w:ascii="Calibri" w:hAnsi="Calibri"/>
                <w:sz w:val="22"/>
              </w:rPr>
              <w:t>Tariff Costs</w:t>
            </w:r>
          </w:p>
        </w:tc>
        <w:tc>
          <w:tcPr>
            <w:tcW w:type="dxa" w:w="2160"/>
          </w:tcPr>
          <w:p>
            <w:r>
              <w:rPr>
                <w:rFonts w:ascii="Calibri" w:hAnsi="Calibri"/>
                <w:sz w:val="22"/>
              </w:rPr>
              <w:t>Significant headwind for all peers; Ford on track with estimates</w:t>
            </w:r>
          </w:p>
        </w:tc>
        <w:tc>
          <w:tcPr>
            <w:tcW w:type="dxa" w:w="2160"/>
          </w:tcPr>
          <w:p>
            <w:r>
              <w:rPr>
                <w:rFonts w:ascii="Calibri" w:hAnsi="Calibri"/>
                <w:sz w:val="22"/>
              </w:rPr>
              <w:t>No incremental tariff surprises; GM’s $2.5–$3.5B guidance appears intact</w:t>
            </w:r>
          </w:p>
        </w:tc>
        <w:tc>
          <w:tcPr>
            <w:tcW w:type="dxa" w:w="2160"/>
          </w:tcPr>
          <w:p>
            <w:r>
              <w:rPr>
                <w:rFonts w:ascii="Calibri" w:hAnsi="Calibri"/>
                <w:b/>
                <w:sz w:val="22"/>
              </w:rPr>
              <w:t>Neutral</w:t>
            </w:r>
          </w:p>
        </w:tc>
      </w:tr>
      <w:tr>
        <w:tc>
          <w:tcPr>
            <w:tcW w:type="dxa" w:w="2160"/>
          </w:tcPr>
          <w:p>
            <w:r>
              <w:rPr>
                <w:rFonts w:ascii="Calibri" w:hAnsi="Calibri"/>
                <w:sz w:val="22"/>
              </w:rPr>
              <w:t>Commodity/Freight Costs (Iran)</w:t>
            </w:r>
          </w:p>
        </w:tc>
        <w:tc>
          <w:tcPr>
            <w:tcW w:type="dxa" w:w="2160"/>
          </w:tcPr>
          <w:p>
            <w:r>
              <w:rPr>
                <w:rFonts w:ascii="Calibri" w:hAnsi="Calibri"/>
                <w:sz w:val="22"/>
              </w:rPr>
              <w:t>Rising; Toyota &amp; Honda both flagging Middle East impact</w:t>
            </w:r>
          </w:p>
        </w:tc>
        <w:tc>
          <w:tcPr>
            <w:tcW w:type="dxa" w:w="2160"/>
          </w:tcPr>
          <w:p>
            <w:r>
              <w:rPr>
                <w:rFonts w:ascii="Calibri" w:hAnsi="Calibri"/>
                <w:sz w:val="22"/>
              </w:rPr>
              <w:t>Confirms GM’s Iran conflict caution; headwind is industry-wide</w:t>
            </w:r>
          </w:p>
        </w:tc>
        <w:tc>
          <w:tcPr>
            <w:tcW w:type="dxa" w:w="2160"/>
          </w:tcPr>
          <w:p>
            <w:r>
              <w:rPr>
                <w:rFonts w:ascii="Calibri" w:hAnsi="Calibri"/>
                <w:b/>
                <w:color w:val="E5484D"/>
                <w:sz w:val="22"/>
              </w:rPr>
              <w:t>Neutral/Slight Negative</w:t>
            </w:r>
          </w:p>
        </w:tc>
      </w:tr>
      <w:tr>
        <w:tc>
          <w:tcPr>
            <w:tcW w:type="dxa" w:w="2160"/>
          </w:tcPr>
          <w:p>
            <w:r>
              <w:rPr>
                <w:rFonts w:ascii="Calibri" w:hAnsi="Calibri"/>
                <w:sz w:val="22"/>
              </w:rPr>
              <w:t>Incentive Pressure</w:t>
            </w:r>
          </w:p>
        </w:tc>
        <w:tc>
          <w:tcPr>
            <w:tcW w:type="dxa" w:w="2160"/>
          </w:tcPr>
          <w:p>
            <w:r>
              <w:rPr>
                <w:rFonts w:ascii="Calibri" w:hAnsi="Calibri"/>
                <w:sz w:val="22"/>
              </w:rPr>
              <w:t>Rising modestly; Stellantis most aggressive on discounting</w:t>
            </w:r>
          </w:p>
        </w:tc>
        <w:tc>
          <w:tcPr>
            <w:tcW w:type="dxa" w:w="2160"/>
          </w:tcPr>
          <w:p>
            <w:r>
              <w:rPr>
                <w:rFonts w:ascii="Calibri" w:hAnsi="Calibri"/>
                <w:sz w:val="22"/>
              </w:rPr>
              <w:t>Modest risk to GM’s pricing; lean inventory is a buffer</w:t>
            </w:r>
          </w:p>
        </w:tc>
        <w:tc>
          <w:tcPr>
            <w:tcW w:type="dxa" w:w="2160"/>
          </w:tcPr>
          <w:p>
            <w:r>
              <w:rPr>
                <w:rFonts w:ascii="Calibri" w:hAnsi="Calibri"/>
                <w:b/>
                <w:color w:val="E5484D"/>
                <w:sz w:val="22"/>
              </w:rPr>
              <w:t>Slight Negative</w:t>
            </w:r>
          </w:p>
        </w:tc>
      </w:tr>
      <w:tr>
        <w:tc>
          <w:tcPr>
            <w:tcW w:type="dxa" w:w="2160"/>
          </w:tcPr>
          <w:p>
            <w:r>
              <w:rPr>
                <w:rFonts w:ascii="Calibri" w:hAnsi="Calibri"/>
                <w:sz w:val="22"/>
              </w:rPr>
              <w:t>Software/Connectivity</w:t>
            </w:r>
          </w:p>
        </w:tc>
        <w:tc>
          <w:tcPr>
            <w:tcW w:type="dxa" w:w="2160"/>
          </w:tcPr>
          <w:p>
            <w:r>
              <w:rPr>
                <w:rFonts w:ascii="Calibri" w:hAnsi="Calibri"/>
                <w:sz w:val="22"/>
              </w:rPr>
              <w:t>All peers investing; GM is the clear leader in monetization</w:t>
            </w:r>
          </w:p>
        </w:tc>
        <w:tc>
          <w:tcPr>
            <w:tcW w:type="dxa" w:w="2160"/>
          </w:tcPr>
          <w:p>
            <w:r>
              <w:rPr>
                <w:rFonts w:ascii="Calibri" w:hAnsi="Calibri"/>
                <w:sz w:val="22"/>
              </w:rPr>
              <w:t>GM’s OnStar/Super Cruise lead is widening vs. peers</w:t>
            </w:r>
          </w:p>
        </w:tc>
        <w:tc>
          <w:tcPr>
            <w:tcW w:type="dxa" w:w="2160"/>
          </w:tcPr>
          <w:p>
            <w:r>
              <w:rPr>
                <w:rFonts w:ascii="Calibri" w:hAnsi="Calibri"/>
                <w:b/>
                <w:color w:val="30A46C"/>
                <w:sz w:val="22"/>
              </w:rPr>
              <w:t>Positive</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significant post-Q1 development is the Iran conflict’s impact on commodity and freight costs, which management flagged as the primary macro uncertainty. No company-specific negative news has emerged since Q1 earnings; the software/services narrative has continued to build momentum.</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Date</w:t>
            </w:r>
          </w:p>
        </w:tc>
        <w:tc>
          <w:tcPr>
            <w:tcW w:type="dxa" w:w="2880"/>
            <w:shd w:val="clear" w:color="auto" w:fill="3B4259"/>
          </w:tcPr>
          <w:p>
            <w:r>
              <w:rPr>
                <w:rFonts w:ascii="Calibri" w:hAnsi="Calibri"/>
                <w:b/>
                <w:color w:val="FFFFFF"/>
                <w:sz w:val="22"/>
              </w:rPr>
              <w:t>Event / Development</w:t>
            </w:r>
          </w:p>
        </w:tc>
        <w:tc>
          <w:tcPr>
            <w:tcW w:type="dxa" w:w="2880"/>
            <w:shd w:val="clear" w:color="auto" w:fill="3B4259"/>
          </w:tcPr>
          <w:p>
            <w:r>
              <w:rPr>
                <w:rFonts w:ascii="Calibri" w:hAnsi="Calibri"/>
                <w:b/>
                <w:color w:val="FFFFFF"/>
                <w:sz w:val="22"/>
              </w:rPr>
              <w:t>Significance for Q2 2026</w:t>
            </w:r>
          </w:p>
        </w:tc>
      </w:tr>
      <w:tr>
        <w:tc>
          <w:tcPr>
            <w:tcW w:type="dxa" w:w="2880"/>
          </w:tcPr>
          <w:p>
            <w:r>
              <w:rPr>
                <w:rFonts w:ascii="Calibri" w:hAnsi="Calibri"/>
                <w:sz w:val="22"/>
              </w:rPr>
              <w:t>April 28, 2026</w:t>
            </w:r>
          </w:p>
        </w:tc>
        <w:tc>
          <w:tcPr>
            <w:tcW w:type="dxa" w:w="2880"/>
          </w:tcPr>
          <w:p>
            <w:r>
              <w:rPr>
                <w:rFonts w:ascii="Calibri" w:hAnsi="Calibri"/>
                <w:sz w:val="22"/>
              </w:rPr>
              <w:t>Q1 2026 Earnings: Massive EPS beat ($3.70 vs. $2.61 est.); EBIT-adjusted guidance raised to $13.5–$15.5B; IIPA tariff adjustment of ~$500M; Iran conflict flagged as new macro headwind</w:t>
            </w:r>
          </w:p>
        </w:tc>
        <w:tc>
          <w:tcPr>
            <w:tcW w:type="dxa" w:w="2880"/>
          </w:tcPr>
          <w:p>
            <w:r>
              <w:rPr>
                <w:rFonts w:ascii="Calibri" w:hAnsi="Calibri"/>
                <w:sz w:val="22"/>
              </w:rPr>
              <w:t>Sets the baseline for Q2 expectations; tariff benefit is non-recurring; Iran conflict is the key ongoing uncertainty</w:t>
            </w:r>
          </w:p>
        </w:tc>
      </w:tr>
      <w:tr>
        <w:tc>
          <w:tcPr>
            <w:tcW w:type="dxa" w:w="2880"/>
          </w:tcPr>
          <w:p>
            <w:r>
              <w:rPr>
                <w:rFonts w:ascii="Calibri" w:hAnsi="Calibri"/>
                <w:sz w:val="22"/>
              </w:rPr>
              <w:t>April 28, 2026</w:t>
            </w:r>
          </w:p>
        </w:tc>
        <w:tc>
          <w:tcPr>
            <w:tcW w:type="dxa" w:w="2880"/>
          </w:tcPr>
          <w:p>
            <w:r>
              <w:rPr>
                <w:rFonts w:ascii="Calibri" w:hAnsi="Calibri"/>
                <w:sz w:val="22"/>
              </w:rPr>
              <w:t>Quarterly dividend declared; Q2 2026 earnings conference call announced for July 21, 2026 (before market open)</w:t>
            </w:r>
          </w:p>
        </w:tc>
        <w:tc>
          <w:tcPr>
            <w:tcW w:type="dxa" w:w="2880"/>
          </w:tcPr>
          <w:p>
            <w:r>
              <w:rPr>
                <w:rFonts w:ascii="Calibri" w:hAnsi="Calibri"/>
                <w:sz w:val="22"/>
              </w:rPr>
              <w:t>Confirms earnings date; dividend declaration signals continued capital return confidence</w:t>
            </w:r>
          </w:p>
        </w:tc>
      </w:tr>
      <w:tr>
        <w:tc>
          <w:tcPr>
            <w:tcW w:type="dxa" w:w="2880"/>
          </w:tcPr>
          <w:p>
            <w:r>
              <w:rPr>
                <w:rFonts w:ascii="Calibri" w:hAnsi="Calibri"/>
                <w:sz w:val="22"/>
              </w:rPr>
              <w:t>Q2 2026 (ongoing)</w:t>
            </w:r>
          </w:p>
        </w:tc>
        <w:tc>
          <w:tcPr>
            <w:tcW w:type="dxa" w:w="2880"/>
          </w:tcPr>
          <w:p>
            <w:r>
              <w:rPr>
                <w:rFonts w:ascii="Calibri" w:hAnsi="Calibri"/>
                <w:sz w:val="22"/>
              </w:rPr>
              <w:t>Iran conflict: Rising commodity costs (steel, aluminum, rare earth materials) and freight disruptions; Middle East wholesale volume impact</w:t>
            </w:r>
          </w:p>
        </w:tc>
        <w:tc>
          <w:tcPr>
            <w:tcW w:type="dxa" w:w="2880"/>
          </w:tcPr>
          <w:p>
            <w:r>
              <w:rPr>
                <w:rFonts w:ascii="Calibri" w:hAnsi="Calibri"/>
                <w:sz w:val="22"/>
              </w:rPr>
              <w:t>Primary macro wildcard for Q2 margins; management has not quantified the impact but flagged it as the key uncertainty</w:t>
            </w:r>
          </w:p>
        </w:tc>
      </w:tr>
      <w:tr>
        <w:tc>
          <w:tcPr>
            <w:tcW w:type="dxa" w:w="2880"/>
          </w:tcPr>
          <w:p>
            <w:r>
              <w:rPr>
                <w:rFonts w:ascii="Calibri" w:hAnsi="Calibri"/>
                <w:sz w:val="22"/>
              </w:rPr>
              <w:t>Q2 2026 (ongoing)</w:t>
            </w:r>
          </w:p>
        </w:tc>
        <w:tc>
          <w:tcPr>
            <w:tcW w:type="dxa" w:w="2880"/>
          </w:tcPr>
          <w:p>
            <w:r>
              <w:rPr>
                <w:rFonts w:ascii="Calibri" w:hAnsi="Calibri"/>
                <w:sz w:val="22"/>
              </w:rPr>
              <w:t>Full-size pickup production normalization: Heavy-duty truck downtime from Q1 is “largely behind us”; inventory building from 47 days of supply</w:t>
            </w:r>
          </w:p>
        </w:tc>
        <w:tc>
          <w:tcPr>
            <w:tcW w:type="dxa" w:w="2880"/>
          </w:tcPr>
          <w:p>
            <w:r>
              <w:rPr>
                <w:rFonts w:ascii="Calibri" w:hAnsi="Calibri"/>
                <w:sz w:val="22"/>
              </w:rPr>
              <w:t>Key upside driver for Q2 revenue and GMNA margins; volume recovery is the primary beat catalyst</w:t>
            </w:r>
          </w:p>
        </w:tc>
      </w:tr>
      <w:tr>
        <w:tc>
          <w:tcPr>
            <w:tcW w:type="dxa" w:w="2880"/>
          </w:tcPr>
          <w:p>
            <w:r>
              <w:rPr>
                <w:rFonts w:ascii="Calibri" w:hAnsi="Calibri"/>
                <w:sz w:val="22"/>
              </w:rPr>
              <w:t>Q2 2026 (ongoing)</w:t>
            </w:r>
          </w:p>
        </w:tc>
        <w:tc>
          <w:tcPr>
            <w:tcW w:type="dxa" w:w="2880"/>
          </w:tcPr>
          <w:p>
            <w:r>
              <w:rPr>
                <w:rFonts w:ascii="Calibri" w:hAnsi="Calibri"/>
                <w:sz w:val="22"/>
              </w:rPr>
              <w:t>OnStar/Super Cruise subscriber growth: On track for 13M subscribers by year-end; deferred revenue approaching $7.5B (+35% YoY)</w:t>
            </w:r>
          </w:p>
        </w:tc>
        <w:tc>
          <w:tcPr>
            <w:tcW w:type="dxa" w:w="2880"/>
          </w:tcPr>
          <w:p>
            <w:r>
              <w:rPr>
                <w:rFonts w:ascii="Calibri" w:hAnsi="Calibri"/>
                <w:sz w:val="22"/>
              </w:rPr>
              <w:t>High-margin recurring revenue stream; continued growth supports the software valuation narrative</w:t>
            </w:r>
          </w:p>
        </w:tc>
      </w:tr>
      <w:tr>
        <w:tc>
          <w:tcPr>
            <w:tcW w:type="dxa" w:w="2880"/>
          </w:tcPr>
          <w:p>
            <w:r>
              <w:rPr>
                <w:rFonts w:ascii="Calibri" w:hAnsi="Calibri"/>
                <w:sz w:val="22"/>
              </w:rPr>
              <w:t>Q2 2026 (ongoing)</w:t>
            </w:r>
          </w:p>
        </w:tc>
        <w:tc>
          <w:tcPr>
            <w:tcW w:type="dxa" w:w="2880"/>
          </w:tcPr>
          <w:p>
            <w:r>
              <w:rPr>
                <w:rFonts w:ascii="Calibri" w:hAnsi="Calibri"/>
                <w:sz w:val="22"/>
              </w:rPr>
              <w:t>China: 6th consecutive profitable quarter in Q1; GMI (ex-China) also improving YoY</w:t>
            </w:r>
          </w:p>
        </w:tc>
        <w:tc>
          <w:tcPr>
            <w:tcW w:type="dxa" w:w="2880"/>
          </w:tcPr>
          <w:p>
            <w:r>
              <w:rPr>
                <w:rFonts w:ascii="Calibri" w:hAnsi="Calibri"/>
                <w:sz w:val="22"/>
              </w:rPr>
              <w:t>China profitability streak is a positive signal; any continuation in Q2 would be incremental positive</w:t>
            </w:r>
          </w:p>
        </w:tc>
      </w:tr>
      <w:tr>
        <w:tc>
          <w:tcPr>
            <w:tcW w:type="dxa" w:w="2880"/>
          </w:tcPr>
          <w:p>
            <w:r>
              <w:rPr>
                <w:rFonts w:ascii="Calibri" w:hAnsi="Calibri"/>
                <w:sz w:val="22"/>
              </w:rPr>
              <w:t>Q3 2026 (upcoming)</w:t>
            </w:r>
          </w:p>
        </w:tc>
        <w:tc>
          <w:tcPr>
            <w:tcW w:type="dxa" w:w="2880"/>
          </w:tcPr>
          <w:p>
            <w:r>
              <w:rPr>
                <w:rFonts w:ascii="Calibri" w:hAnsi="Calibri"/>
                <w:sz w:val="22"/>
              </w:rPr>
              <w:t>Next-generation full-size pickup launch begins; Cadillac XT6 end of production</w:t>
            </w:r>
          </w:p>
        </w:tc>
        <w:tc>
          <w:tcPr>
            <w:tcW w:type="dxa" w:w="2880"/>
          </w:tcPr>
          <w:p>
            <w:r>
              <w:rPr>
                <w:rFonts w:ascii="Calibri" w:hAnsi="Calibri"/>
                <w:sz w:val="22"/>
              </w:rPr>
              <w:t>Q2 should be clean from launch disruption; management flagged “small impact” possible in H2 from changeover</w:t>
            </w:r>
          </w:p>
        </w:tc>
      </w:tr>
      <w:tr>
        <w:tc>
          <w:tcPr>
            <w:tcW w:type="dxa" w:w="2880"/>
          </w:tcPr>
          <w:p>
            <w:r>
              <w:rPr>
                <w:rFonts w:ascii="Calibri" w:hAnsi="Calibri"/>
                <w:sz w:val="22"/>
              </w:rPr>
              <w:t>Consensus (as of July 20)</w:t>
            </w:r>
          </w:p>
        </w:tc>
        <w:tc>
          <w:tcPr>
            <w:tcW w:type="dxa" w:w="2880"/>
          </w:tcPr>
          <w:p>
            <w:r>
              <w:rPr>
                <w:rFonts w:ascii="Calibri" w:hAnsi="Calibri"/>
                <w:sz w:val="22"/>
              </w:rPr>
              <w:t>Average analyst price target: $97.27; consensus rating: “Moderate Buy”</w:t>
            </w:r>
          </w:p>
        </w:tc>
        <w:tc>
          <w:tcPr>
            <w:tcW w:type="dxa" w:w="2880"/>
          </w:tcPr>
          <w:p>
            <w:r>
              <w:rPr>
                <w:rFonts w:ascii="Calibri" w:hAnsi="Calibri"/>
                <w:sz w:val="22"/>
              </w:rPr>
              <w:t>Significant upside implied from current price of $75.80 (~28% to consensus target)</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recent insider transactions are sales, but </w:t>
      </w:r>
      <w:r>
        <w:rPr>
          <w:rFonts w:ascii="Calibri" w:hAnsi="Calibri"/>
          <w:b/>
          <w:color w:val="525866"/>
          <w:sz w:val="22"/>
        </w:rPr>
        <w:t>all are under pre-planned 10b5-1 trading plans</w:t>
      </w:r>
      <w:r>
        <w:rPr>
          <w:rFonts w:ascii="Calibri" w:hAnsi="Calibri"/>
          <w:color w:val="525866"/>
          <w:sz w:val="22"/>
        </w:rPr>
        <w:t xml:space="preserve"> — meaning they were scheduled in advance and do not reflect real-time bearish conviction. The CEO’s sales are particularly notable in size but are routine plan-driven dispositions. No insider purchases have been filed in the last 60 days.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Insider</w:t>
            </w:r>
          </w:p>
        </w:tc>
        <w:tc>
          <w:tcPr>
            <w:tcW w:type="dxa" w:w="1234"/>
            <w:shd w:val="clear" w:color="auto" w:fill="3B4259"/>
          </w:tcPr>
          <w:p>
            <w:r>
              <w:rPr>
                <w:rFonts w:ascii="Calibri" w:hAnsi="Calibri"/>
                <w:b/>
                <w:color w:val="FFFFFF"/>
                <w:sz w:val="22"/>
              </w:rPr>
              <w:t>Role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10b5-1 Plan?</w:t>
            </w:r>
          </w:p>
        </w:tc>
        <w:tc>
          <w:tcPr>
            <w:tcW w:type="dxa" w:w="1234"/>
            <w:shd w:val="clear" w:color="auto" w:fill="3B4259"/>
          </w:tcPr>
          <w:p>
            <w:r>
              <w:rPr>
                <w:rFonts w:ascii="Calibri" w:hAnsi="Calibri"/>
                <w:b/>
                <w:color w:val="FFFFFF"/>
                <w:sz w:val="22"/>
              </w:rPr>
              <w:t>Shares Owned After</w:t>
            </w:r>
          </w:p>
        </w:tc>
      </w:tr>
      <w:tr>
        <w:tc>
          <w:tcPr>
            <w:tcW w:type="dxa" w:w="1234"/>
          </w:tcPr>
          <w:p>
            <w:r>
              <w:rPr>
                <w:rFonts w:ascii="Calibri" w:hAnsi="Calibri"/>
                <w:sz w:val="22"/>
              </w:rPr>
              <w:t>Mary T. Barra</w:t>
            </w:r>
          </w:p>
        </w:tc>
        <w:tc>
          <w:tcPr>
            <w:tcW w:type="dxa" w:w="1234"/>
          </w:tcPr>
          <w:p>
            <w:r>
              <w:rPr>
                <w:rFonts w:ascii="Calibri" w:hAnsi="Calibri"/>
                <w:sz w:val="22"/>
              </w:rPr>
              <w:t>Chair &amp; CEO</w:t>
            </w:r>
          </w:p>
        </w:tc>
        <w:tc>
          <w:tcPr>
            <w:tcW w:type="dxa" w:w="1234"/>
          </w:tcPr>
          <w:p>
            <w:r>
              <w:rPr>
                <w:rFonts w:ascii="Calibri" w:hAnsi="Calibri"/>
                <w:sz w:val="22"/>
              </w:rPr>
              <w:t>June 16, 2026</w:t>
            </w:r>
          </w:p>
        </w:tc>
        <w:tc>
          <w:tcPr>
            <w:tcW w:type="dxa" w:w="1234"/>
          </w:tcPr>
          <w:p>
            <w:r>
              <w:rPr>
                <w:rFonts w:ascii="Calibri" w:hAnsi="Calibri"/>
                <w:sz w:val="22"/>
              </w:rPr>
              <w:t>Sale (Disposition)</w:t>
            </w:r>
          </w:p>
        </w:tc>
        <w:tc>
          <w:tcPr>
            <w:tcW w:type="dxa" w:w="1234"/>
          </w:tcPr>
          <w:p>
            <w:r>
              <w:rPr>
                <w:rFonts w:ascii="Calibri" w:hAnsi="Calibri"/>
                <w:sz w:val="22"/>
              </w:rPr>
              <w:t>99,239</w:t>
            </w:r>
          </w:p>
        </w:tc>
        <w:tc>
          <w:tcPr>
            <w:tcW w:type="dxa" w:w="1234"/>
          </w:tcPr>
          <w:p>
            <w:r>
              <w:rPr>
                <w:rFonts w:ascii="Calibri" w:hAnsi="Calibri"/>
                <w:sz w:val="22"/>
              </w:rPr>
              <w:t>Yes ✓</w:t>
            </w:r>
          </w:p>
        </w:tc>
        <w:tc>
          <w:tcPr>
            <w:tcW w:type="dxa" w:w="1234"/>
          </w:tcPr>
          <w:p>
            <w:r>
              <w:rPr>
                <w:rFonts w:ascii="Calibri" w:hAnsi="Calibri"/>
                <w:sz w:val="22"/>
              </w:rPr>
              <w:t>592,242</w:t>
            </w:r>
          </w:p>
        </w:tc>
      </w:tr>
      <w:tr>
        <w:tc>
          <w:tcPr>
            <w:tcW w:type="dxa" w:w="1234"/>
          </w:tcPr>
          <w:p>
            <w:r>
              <w:rPr>
                <w:rFonts w:ascii="Calibri" w:hAnsi="Calibri"/>
                <w:sz w:val="22"/>
              </w:rPr>
              <w:t>Mary T. Barra</w:t>
            </w:r>
          </w:p>
        </w:tc>
        <w:tc>
          <w:tcPr>
            <w:tcW w:type="dxa" w:w="1234"/>
          </w:tcPr>
          <w:p>
            <w:r>
              <w:rPr>
                <w:rFonts w:ascii="Calibri" w:hAnsi="Calibri"/>
                <w:sz w:val="22"/>
              </w:rPr>
              <w:t>Chair &amp; CEO</w:t>
            </w:r>
          </w:p>
        </w:tc>
        <w:tc>
          <w:tcPr>
            <w:tcW w:type="dxa" w:w="1234"/>
          </w:tcPr>
          <w:p>
            <w:r>
              <w:rPr>
                <w:rFonts w:ascii="Calibri" w:hAnsi="Calibri"/>
                <w:sz w:val="22"/>
              </w:rPr>
              <w:t>June 9, 2026</w:t>
            </w:r>
          </w:p>
        </w:tc>
        <w:tc>
          <w:tcPr>
            <w:tcW w:type="dxa" w:w="1234"/>
          </w:tcPr>
          <w:p>
            <w:r>
              <w:rPr>
                <w:rFonts w:ascii="Calibri" w:hAnsi="Calibri"/>
                <w:sz w:val="22"/>
              </w:rPr>
              <w:t>Sale (Disposition)</w:t>
            </w:r>
          </w:p>
        </w:tc>
        <w:tc>
          <w:tcPr>
            <w:tcW w:type="dxa" w:w="1234"/>
          </w:tcPr>
          <w:p>
            <w:r>
              <w:rPr>
                <w:rFonts w:ascii="Calibri" w:hAnsi="Calibri"/>
                <w:sz w:val="22"/>
              </w:rPr>
              <w:t>20,582</w:t>
            </w:r>
          </w:p>
        </w:tc>
        <w:tc>
          <w:tcPr>
            <w:tcW w:type="dxa" w:w="1234"/>
          </w:tcPr>
          <w:p>
            <w:r>
              <w:rPr>
                <w:rFonts w:ascii="Calibri" w:hAnsi="Calibri"/>
                <w:sz w:val="22"/>
              </w:rPr>
              <w:t>Yes ✓</w:t>
            </w:r>
          </w:p>
        </w:tc>
        <w:tc>
          <w:tcPr>
            <w:tcW w:type="dxa" w:w="1234"/>
          </w:tcPr>
          <w:p>
            <w:r>
              <w:rPr>
                <w:rFonts w:ascii="Calibri" w:hAnsi="Calibri"/>
                <w:sz w:val="22"/>
              </w:rPr>
              <w:t>592,242</w:t>
            </w:r>
          </w:p>
        </w:tc>
      </w:tr>
      <w:tr>
        <w:tc>
          <w:tcPr>
            <w:tcW w:type="dxa" w:w="1234"/>
          </w:tcPr>
          <w:p>
            <w:r>
              <w:rPr>
                <w:rFonts w:ascii="Calibri" w:hAnsi="Calibri"/>
                <w:sz w:val="22"/>
              </w:rPr>
              <w:t>Paul A. Jacobson</w:t>
            </w:r>
          </w:p>
        </w:tc>
        <w:tc>
          <w:tcPr>
            <w:tcW w:type="dxa" w:w="1234"/>
          </w:tcPr>
          <w:p>
            <w:r>
              <w:rPr>
                <w:rFonts w:ascii="Calibri" w:hAnsi="Calibri"/>
                <w:sz w:val="22"/>
              </w:rPr>
              <w:t>EVP &amp; CFO</w:t>
            </w:r>
          </w:p>
        </w:tc>
        <w:tc>
          <w:tcPr>
            <w:tcW w:type="dxa" w:w="1234"/>
          </w:tcPr>
          <w:p>
            <w:r>
              <w:rPr>
                <w:rFonts w:ascii="Calibri" w:hAnsi="Calibri"/>
                <w:sz w:val="22"/>
              </w:rPr>
              <w:t>May 26, 2026</w:t>
            </w:r>
          </w:p>
        </w:tc>
        <w:tc>
          <w:tcPr>
            <w:tcW w:type="dxa" w:w="1234"/>
          </w:tcPr>
          <w:p>
            <w:r>
              <w:rPr>
                <w:rFonts w:ascii="Calibri" w:hAnsi="Calibri"/>
                <w:sz w:val="22"/>
              </w:rPr>
              <w:t>Sale (Disposition)</w:t>
            </w:r>
          </w:p>
        </w:tc>
        <w:tc>
          <w:tcPr>
            <w:tcW w:type="dxa" w:w="1234"/>
          </w:tcPr>
          <w:p>
            <w:r>
              <w:rPr>
                <w:rFonts w:ascii="Calibri" w:hAnsi="Calibri"/>
                <w:sz w:val="22"/>
              </w:rPr>
              <w:t>40,000</w:t>
            </w:r>
          </w:p>
        </w:tc>
        <w:tc>
          <w:tcPr>
            <w:tcW w:type="dxa" w:w="1234"/>
          </w:tcPr>
          <w:p>
            <w:r>
              <w:rPr>
                <w:rFonts w:ascii="Calibri" w:hAnsi="Calibri"/>
                <w:sz w:val="22"/>
              </w:rPr>
              <w:t>Yes ✓</w:t>
            </w:r>
          </w:p>
        </w:tc>
        <w:tc>
          <w:tcPr>
            <w:tcW w:type="dxa" w:w="1234"/>
          </w:tcPr>
          <w:p>
            <w:r>
              <w:rPr>
                <w:rFonts w:ascii="Calibri" w:hAnsi="Calibri"/>
                <w:sz w:val="22"/>
              </w:rPr>
              <w:t>425,675</w:t>
            </w:r>
          </w:p>
        </w:tc>
      </w:tr>
      <w:tr>
        <w:tc>
          <w:tcPr>
            <w:tcW w:type="dxa" w:w="1234"/>
          </w:tcPr>
          <w:p>
            <w:r>
              <w:rPr>
                <w:rFonts w:ascii="Calibri" w:hAnsi="Calibri"/>
                <w:sz w:val="22"/>
              </w:rPr>
              <w:t>Rory Harvey</w:t>
            </w:r>
          </w:p>
        </w:tc>
        <w:tc>
          <w:tcPr>
            <w:tcW w:type="dxa" w:w="1234"/>
          </w:tcPr>
          <w:p>
            <w:r>
              <w:rPr>
                <w:rFonts w:ascii="Calibri" w:hAnsi="Calibri"/>
                <w:sz w:val="22"/>
              </w:rPr>
              <w:t>Executive Vice President</w:t>
            </w:r>
          </w:p>
        </w:tc>
        <w:tc>
          <w:tcPr>
            <w:tcW w:type="dxa" w:w="1234"/>
          </w:tcPr>
          <w:p>
            <w:r>
              <w:rPr>
                <w:rFonts w:ascii="Calibri" w:hAnsi="Calibri"/>
                <w:sz w:val="22"/>
              </w:rPr>
              <w:t>May 28, 2026</w:t>
            </w:r>
          </w:p>
        </w:tc>
        <w:tc>
          <w:tcPr>
            <w:tcW w:type="dxa" w:w="1234"/>
          </w:tcPr>
          <w:p>
            <w:r>
              <w:rPr>
                <w:rFonts w:ascii="Calibri" w:hAnsi="Calibri"/>
                <w:sz w:val="22"/>
              </w:rPr>
              <w:t>Sale (Disposition)</w:t>
            </w:r>
          </w:p>
        </w:tc>
        <w:tc>
          <w:tcPr>
            <w:tcW w:type="dxa" w:w="1234"/>
          </w:tcPr>
          <w:p>
            <w:r>
              <w:rPr>
                <w:rFonts w:ascii="Calibri" w:hAnsi="Calibri"/>
                <w:sz w:val="22"/>
              </w:rPr>
              <w:t>9,124</w:t>
            </w:r>
          </w:p>
        </w:tc>
        <w:tc>
          <w:tcPr>
            <w:tcW w:type="dxa" w:w="1234"/>
          </w:tcPr>
          <w:p>
            <w:r>
              <w:rPr>
                <w:rFonts w:ascii="Calibri" w:hAnsi="Calibri"/>
                <w:sz w:val="22"/>
              </w:rPr>
              <w:t>Yes ✓</w:t>
            </w:r>
          </w:p>
        </w:tc>
        <w:tc>
          <w:tcPr>
            <w:tcW w:type="dxa" w:w="1234"/>
          </w:tcPr>
          <w:p>
            <w:r>
              <w:rPr>
                <w:rFonts w:ascii="Calibri" w:hAnsi="Calibri"/>
                <w:sz w:val="22"/>
              </w:rPr>
              <w:t>37,395</w:t>
            </w:r>
          </w:p>
        </w:tc>
      </w:tr>
      <w:tr>
        <w:tc>
          <w:tcPr>
            <w:tcW w:type="dxa" w:w="1234"/>
          </w:tcPr>
          <w:p>
            <w:r>
              <w:rPr>
                <w:rFonts w:ascii="Calibri" w:hAnsi="Calibri"/>
                <w:sz w:val="22"/>
              </w:rPr>
              <w:t>Christopher Hatto</w:t>
            </w:r>
          </w:p>
        </w:tc>
        <w:tc>
          <w:tcPr>
            <w:tcW w:type="dxa" w:w="1234"/>
          </w:tcPr>
          <w:p>
            <w:r>
              <w:rPr>
                <w:rFonts w:ascii="Calibri" w:hAnsi="Calibri"/>
                <w:sz w:val="22"/>
              </w:rPr>
              <w:t>VP &amp; CAO</w:t>
            </w:r>
          </w:p>
        </w:tc>
        <w:tc>
          <w:tcPr>
            <w:tcW w:type="dxa" w:w="1234"/>
          </w:tcPr>
          <w:p>
            <w:r>
              <w:rPr>
                <w:rFonts w:ascii="Calibri" w:hAnsi="Calibri"/>
                <w:sz w:val="22"/>
              </w:rPr>
              <w:t>May 28, 2026</w:t>
            </w:r>
          </w:p>
        </w:tc>
        <w:tc>
          <w:tcPr>
            <w:tcW w:type="dxa" w:w="1234"/>
          </w:tcPr>
          <w:p>
            <w:r>
              <w:rPr>
                <w:rFonts w:ascii="Calibri" w:hAnsi="Calibri"/>
                <w:sz w:val="22"/>
              </w:rPr>
              <w:t>Sale (Disposition)</w:t>
            </w:r>
          </w:p>
        </w:tc>
        <w:tc>
          <w:tcPr>
            <w:tcW w:type="dxa" w:w="1234"/>
          </w:tcPr>
          <w:p>
            <w:r>
              <w:rPr>
                <w:rFonts w:ascii="Calibri" w:hAnsi="Calibri"/>
                <w:sz w:val="22"/>
              </w:rPr>
              <w:t>6,895</w:t>
            </w:r>
          </w:p>
        </w:tc>
        <w:tc>
          <w:tcPr>
            <w:tcW w:type="dxa" w:w="1234"/>
          </w:tcPr>
          <w:p>
            <w:r>
              <w:rPr>
                <w:rFonts w:ascii="Calibri" w:hAnsi="Calibri"/>
                <w:sz w:val="22"/>
              </w:rPr>
              <w:t>Yes ✓</w:t>
            </w:r>
          </w:p>
        </w:tc>
        <w:tc>
          <w:tcPr>
            <w:tcW w:type="dxa" w:w="1234"/>
          </w:tcPr>
          <w:p>
            <w:r>
              <w:rPr>
                <w:rFonts w:ascii="Calibri" w:hAnsi="Calibri"/>
                <w:sz w:val="22"/>
              </w:rPr>
              <w:t>25,794</w:t>
            </w:r>
          </w:p>
        </w:tc>
      </w:tr>
    </w:tbl>
    <w:p>
      <w:r>
        <w:rPr>
          <w:rFonts w:ascii="Calibri" w:hAnsi="Calibri"/>
          <w:b/>
          <w:color w:val="525866"/>
          <w:sz w:val="22"/>
        </w:rPr>
        <w:t xml:space="preserve">Interpretation: </w:t>
      </w:r>
      <w:r>
        <w:rPr>
          <w:rFonts w:ascii="Calibri" w:hAnsi="Calibri"/>
          <w:color w:val="525866"/>
          <w:sz w:val="22"/>
        </w:rPr>
        <w:t xml:space="preserve">All five transactions are pre-planned 10b5-1 sales, which are scheduled in advance and do not reflect real-time views on the stock. The CEO’s two sales (totaling ~119,821 shares) are the largest in dollar terms but are routine plan-driven dispositions. The CFO’s 40,000-share sale on May 26 — near the stock’s peak of $84.35 — is notable in timing but again is plan-driven. Importantly, </w:t>
      </w:r>
      <w:r>
        <w:rPr>
          <w:rFonts w:ascii="Calibri" w:hAnsi="Calibri"/>
          <w:b/>
          <w:color w:val="525866"/>
          <w:sz w:val="22"/>
        </w:rPr>
        <w:t>no insider has purchased shares in the open market in the last 60 days</w:t>
      </w:r>
      <w:r>
        <w:rPr>
          <w:rFonts w:ascii="Calibri" w:hAnsi="Calibri"/>
          <w:color w:val="525866"/>
          <w:sz w:val="22"/>
        </w:rPr>
        <w:t>, which is a mild negative signal, though the absence of purchases is common ahead of earnings blackout periods. The CFO’s public statement that the company “remains materially undervalued” is a stronger bullish signal than the routine plan-driven sales.</w:t>
      </w:r>
    </w:p>
    <w:p>
      <w:r>
        <w:rPr>
          <w:rFonts w:ascii="Calibri" w:hAnsi="Calibri"/>
          <w:i/>
          <w:color w:val="525866"/>
          <w:sz w:val="22"/>
        </w:rPr>
        <w:t>Source: SEC Form 4 Filings (Insider Transaction Data).</w:t>
      </w:r>
    </w:p>
    <w:p>
      <w:r>
        <w:br w:type="page"/>
      </w:r>
    </w:p>
    <w:p>
      <w:pPr>
        <w:pStyle w:val="Heading2"/>
      </w:pPr>
      <w:r>
        <w:rPr>
          <w:rFonts w:ascii="Calibri" w:hAnsi="Calibri"/>
          <w:b/>
          <w:color w:val="3B4259"/>
          <w:sz w:val="28"/>
        </w:rPr>
        <w:t>Appendix: Key Risks</w:t>
      </w:r>
    </w:p>
    <w:p>
      <w:pPr>
        <w:pStyle w:val="Heading3"/>
      </w:pPr>
      <w:r>
        <w:rPr>
          <w:rFonts w:ascii="Calibri" w:hAnsi="Calibri"/>
          <w:b/>
          <w:color w:val="3B4259"/>
          <w:sz w:val="24"/>
        </w:rPr>
        <w:t>Upside Risks</w:t>
      </w:r>
    </w:p>
    <w:p>
      <w:pPr>
        <w:pStyle w:val="ListBullet"/>
        <w:ind w:left="360" w:hanging="360"/>
      </w:pPr>
      <w:r>
        <w:rPr>
          <w:rFonts w:ascii="Calibri" w:hAnsi="Calibri"/>
          <w:color w:val="525866"/>
          <w:sz w:val="22"/>
        </w:rPr>
        <w:t>Full-size pickup production recovery exceeds expectations, driving GMNA revenue and margin beat</w:t>
      </w:r>
    </w:p>
    <w:p>
      <w:pPr>
        <w:pStyle w:val="ListBullet"/>
        <w:ind w:left="360" w:hanging="360"/>
      </w:pPr>
      <w:r>
        <w:rPr>
          <w:rFonts w:ascii="Calibri" w:hAnsi="Calibri"/>
          <w:color w:val="525866"/>
          <w:sz w:val="22"/>
        </w:rPr>
        <w:t>Iran conflict de-escalates, removing commodity/freight cost headwind and enabling guidance raise</w:t>
      </w:r>
    </w:p>
    <w:p>
      <w:pPr>
        <w:pStyle w:val="ListBullet"/>
        <w:ind w:left="360" w:hanging="360"/>
      </w:pPr>
      <w:r>
        <w:rPr>
          <w:rFonts w:ascii="Calibri" w:hAnsi="Calibri"/>
          <w:color w:val="525866"/>
          <w:sz w:val="22"/>
        </w:rPr>
        <w:t>OnStar/Super Cruise subscriber growth accelerates, driving software revenue upside</w:t>
      </w:r>
    </w:p>
    <w:p>
      <w:pPr>
        <w:pStyle w:val="ListBullet"/>
        <w:ind w:left="360" w:hanging="360"/>
      </w:pPr>
      <w:r>
        <w:rPr>
          <w:rFonts w:ascii="Calibri" w:hAnsi="Calibri"/>
          <w:color w:val="525866"/>
          <w:sz w:val="22"/>
        </w:rPr>
        <w:t>IIPA tariff refund received in Q2, providing unexpected FCF boost</w:t>
      </w:r>
    </w:p>
    <w:p>
      <w:pPr>
        <w:pStyle w:val="ListBullet"/>
        <w:ind w:left="360" w:hanging="360"/>
      </w:pPr>
      <w:r>
        <w:rPr>
          <w:rFonts w:ascii="Calibri" w:hAnsi="Calibri"/>
          <w:color w:val="525866"/>
          <w:sz w:val="22"/>
        </w:rPr>
        <w:t>EV loss reduction exceeds the $1–$1.5B target as capacity rightsizing progresses faster than expected</w:t>
      </w:r>
    </w:p>
    <w:p>
      <w:pPr>
        <w:pStyle w:val="ListBullet"/>
        <w:ind w:left="360" w:hanging="360"/>
      </w:pPr>
      <w:r>
        <w:rPr>
          <w:rFonts w:ascii="Calibri" w:hAnsi="Calibri"/>
          <w:color w:val="525866"/>
          <w:sz w:val="22"/>
        </w:rPr>
        <w:t>China profitability streak continues for a 7th consecutive quarter</w:t>
      </w:r>
    </w:p>
    <w:p>
      <w:pPr>
        <w:pStyle w:val="Heading3"/>
      </w:pPr>
      <w:r>
        <w:rPr>
          <w:rFonts w:ascii="Calibri" w:hAnsi="Calibri"/>
          <w:b/>
          <w:color w:val="3B4259"/>
          <w:sz w:val="24"/>
        </w:rPr>
        <w:t>Downside Risks</w:t>
      </w:r>
    </w:p>
    <w:p>
      <w:pPr>
        <w:pStyle w:val="ListBullet"/>
        <w:ind w:left="360" w:hanging="360"/>
      </w:pPr>
      <w:r>
        <w:rPr>
          <w:rFonts w:ascii="Calibri" w:hAnsi="Calibri"/>
          <w:color w:val="525866"/>
          <w:sz w:val="22"/>
        </w:rPr>
        <w:t>Iran conflict escalates, driving commodity/freight costs above guidance and forcing a guidance cut</w:t>
      </w:r>
    </w:p>
    <w:p>
      <w:pPr>
        <w:pStyle w:val="ListBullet"/>
        <w:ind w:left="360" w:hanging="360"/>
      </w:pPr>
      <w:r>
        <w:rPr>
          <w:rFonts w:ascii="Calibri" w:hAnsi="Calibri"/>
          <w:color w:val="525866"/>
          <w:sz w:val="22"/>
        </w:rPr>
        <w:t>SAAR falls below the low-16M unit assumption, reducing volume leverage</w:t>
      </w:r>
    </w:p>
    <w:p>
      <w:pPr>
        <w:pStyle w:val="ListBullet"/>
        <w:ind w:left="360" w:hanging="360"/>
      </w:pPr>
      <w:r>
        <w:rPr>
          <w:rFonts w:ascii="Calibri" w:hAnsi="Calibri"/>
          <w:color w:val="525866"/>
          <w:sz w:val="22"/>
        </w:rPr>
        <w:t>Incentive pressure from Stellantis’s inventory clearance spills over into truck segment, pressuring GM’s pricing</w:t>
      </w:r>
    </w:p>
    <w:p>
      <w:pPr>
        <w:pStyle w:val="ListBullet"/>
        <w:ind w:left="360" w:hanging="360"/>
      </w:pPr>
      <w:r>
        <w:rPr>
          <w:rFonts w:ascii="Calibri" w:hAnsi="Calibri"/>
          <w:color w:val="525866"/>
          <w:sz w:val="22"/>
        </w:rPr>
        <w:t>Next-generation pickup launch disruption begins earlier than expected, impacting Q2 production</w:t>
      </w:r>
    </w:p>
    <w:p>
      <w:pPr>
        <w:pStyle w:val="ListBullet"/>
        <w:ind w:left="360" w:hanging="360"/>
      </w:pPr>
      <w:r>
        <w:rPr>
          <w:rFonts w:ascii="Calibri" w:hAnsi="Calibri"/>
          <w:color w:val="525866"/>
          <w:sz w:val="22"/>
        </w:rPr>
        <w:t>GM Financial credit quality deteriorates as consumer stress builds in lower-income segments</w:t>
      </w:r>
    </w:p>
    <w:p>
      <w:pPr>
        <w:pStyle w:val="ListBullet"/>
        <w:ind w:left="360" w:hanging="360"/>
      </w:pPr>
      <w:r>
        <w:rPr>
          <w:rFonts w:ascii="Calibri" w:hAnsi="Calibri"/>
          <w:color w:val="525866"/>
          <w:sz w:val="22"/>
        </w:rPr>
        <w:t>China profitability streak ends as the restructuring costs accelerate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