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m-earnings-predictions--2026-07-21"/>
    <w:p>
      <w:pPr>
        <w:pStyle w:val="Heading1"/>
      </w:pPr>
      <w:r>
        <w:t xml:space="preserve">GM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~$3.12 vs. cons $3.20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~$46.90B vs. cons $46.67B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GMNA operating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~$3.10B vs. cons $3.23B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11.50</m:t>
              </m:r>
              <m:r>
                <m:rPr>
                  <m:sty m:val="p"/>
                </m:rPr>
                <m:t>−</m:t>
              </m:r>
            </m:oMath>
            <w:r>
              <w:t xml:space="preserve">13.50 vs. cons $12.86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automotive FCF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9.0</m:t>
              </m:r>
              <m:r>
                <m:rPr>
                  <m:sty m:val="p"/>
                </m:rPr>
                <m:t>−</m:t>
              </m:r>
            </m:oMath>
            <w:r>
              <w:t xml:space="preserve">11.0B vs. cons $8.49B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EBIT-adjusted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13.5</m:t>
              </m:r>
              <m:r>
                <m:rPr>
                  <m:sty m:val="p"/>
                </m:rPr>
                <m:t>−</m:t>
              </m:r>
            </m:oMath>
            <w:r>
              <w:t xml:space="preserve">15.5B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profit miss plus a maintained guide leaves forward estimates vulnerable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2026-07-24T22:28:31Z</dcterms:created>
  <dcterms:modified xsi:type="dcterms:W3CDTF">2026-07-24T22:28:31Z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