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General Motors (GM)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GM</w:t>
            </w:r>
          </w:p>
        </w:tc>
      </w:tr>
      <w:tr>
        <w:tc>
          <w:tcPr>
            <w:tcW w:type="dxa" w:w="4320"/>
          </w:tcPr>
          <w:p>
            <w:r>
              <w:rPr>
                <w:rFonts w:ascii="Calibri" w:hAnsi="Calibri"/>
                <w:b/>
                <w:sz w:val="22"/>
              </w:rPr>
              <w:t>Earnings Date</w:t>
            </w:r>
          </w:p>
        </w:tc>
        <w:tc>
          <w:tcPr>
            <w:tcW w:type="dxa" w:w="4320"/>
          </w:tcPr>
          <w:p>
            <w:r>
              <w:rPr>
                <w:rFonts w:ascii="Calibri" w:hAnsi="Calibri"/>
                <w:sz w:val="22"/>
              </w:rPr>
              <w:t>July 21, 2026 — 8:30 AM ET (Before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is modestly constructive — consensus has been revised up since Q1 and the bar is achievable, but the biggest swing factor is how much of the Iran conflict’s commodity and freight cost headwind hit Q2 margins.</w:t>
      </w:r>
    </w:p>
    <w:p>
      <w:r>
        <w:rPr>
          <w:rFonts w:ascii="Calibri" w:hAnsi="Calibri"/>
          <w:b/>
          <w:color w:val="525866"/>
          <w:sz w:val="22"/>
        </w:rPr>
        <w:t xml:space="preserve">Bar: </w:t>
      </w:r>
      <w:r>
        <w:rPr>
          <w:rFonts w:ascii="Calibri" w:hAnsi="Calibri"/>
          <w:color w:val="525866"/>
          <w:sz w:val="22"/>
        </w:rPr>
        <w:t xml:space="preserve">Consensus EBIT-adjusted for Q2 2026 sits at approximately $3.9–4.0B, a step down from Q1’s $4.3B beat (which included a one-time ~$0.5B IIPA tariff adjustment). Stripping that benefit, Q1’s underlying EBIT was ~$3.8B, making the Q2 bar achievable but not easy. </w:t>
      </w:r>
      <w:r>
        <w:rPr>
          <w:rFonts w:ascii="Calibri" w:hAnsi="Calibri"/>
          <w:b/>
          <w:color w:val="525866"/>
          <w:sz w:val="22"/>
        </w:rPr>
        <w:t>EPS-diluted-adjusted consensus is ~$3.20</w:t>
      </w:r>
      <w:r>
        <w:rPr>
          <w:rFonts w:ascii="Calibri" w:hAnsi="Calibri"/>
          <w:color w:val="525866"/>
          <w:sz w:val="22"/>
        </w:rPr>
        <w:t>, implying the Street expects solid but not exceptional execution. North America EBIT margin is the key KPI to watch — management guided 8–10% for the full year, and Q2 will be the first clean read without the tariff accounting benefit.</w:t>
      </w:r>
    </w:p>
    <w:p>
      <w:r>
        <w:rPr>
          <w:rFonts w:ascii="Calibri" w:hAnsi="Calibri"/>
          <w:b/>
          <w:color w:val="525866"/>
          <w:sz w:val="22"/>
        </w:rPr>
        <w:t xml:space="preserve">Guidance/Tone: </w:t>
      </w:r>
      <w:r>
        <w:rPr>
          <w:rFonts w:ascii="Calibri" w:hAnsi="Calibri"/>
          <w:color w:val="525866"/>
          <w:sz w:val="22"/>
        </w:rPr>
        <w:t>Management raised full-year EBIT-adjusted guidance to $13.5–15.5B at Q1 earnings (from $13–15B), but explicitly flagged the Iran conflict as the “#1 thing we’re watching,” citing oil price impacts on logistics and commodity costs. Tone is cautiously confident — the company is executing its plan but has declined to raise guidance further until the conflict’s duration and cost impact become clearer. Commodity/logistics inflation guidance was raised to $1.5–2.0B for the full year, with the incremental $500M expected to be equally weighted across Q2–Q4.</w:t>
      </w:r>
    </w:p>
    <w:p>
      <w:r>
        <w:rPr>
          <w:rFonts w:ascii="Calibri" w:hAnsi="Calibri"/>
          <w:b/>
          <w:color w:val="525866"/>
          <w:sz w:val="22"/>
        </w:rPr>
        <w:t xml:space="preserve">Estimate Trajectory: </w:t>
      </w:r>
      <w:r>
        <w:rPr>
          <w:rFonts w:ascii="Calibri" w:hAnsi="Calibri"/>
          <w:color w:val="525866"/>
          <w:sz w:val="22"/>
        </w:rPr>
        <w:t>EPS estimates for Q2 2026 dipped sharply in April–May (from ~$3.16 to ~$2.35) as the market digested Iran conflict uncertainty and commodity cost headwinds, then partially recovered to ~$2.68 by July. The recovery suggests the Street has partially priced in the headwinds but has not fully re-rated to the upside — creating a modest cushion if GM executes in line with its own guidance.</w:t>
      </w:r>
    </w:p>
    <w:p>
      <w:r>
        <w:rPr>
          <w:rFonts w:ascii="Calibri" w:hAnsi="Calibri"/>
          <w:b/>
          <w:color w:val="525866"/>
          <w:sz w:val="22"/>
        </w:rPr>
        <w:t xml:space="preserve">Stock Setup: </w:t>
      </w:r>
      <w:r>
        <w:rPr>
          <w:rFonts w:ascii="Calibri" w:hAnsi="Calibri"/>
          <w:color w:val="525866"/>
          <w:sz w:val="22"/>
        </w:rPr>
        <w:t>GM is down ~3.6% since Q1 earnings (vs. CARZ +4.6%, S&amp;P 500 +4.4%), trading at just ~5.6x NTM P/E. The stock has underperformed the auto ETF and the market, suggesting the Iran/commodity overhang is already partially discounted. A clean Q2 print with no guidance cut would likely be a positive catalyst; any further guidance reduction would be punished.</w:t>
      </w:r>
    </w:p>
    <w:p>
      <w:r>
        <w:rPr>
          <w:rFonts w:ascii="Calibri" w:hAnsi="Calibri"/>
          <w:b/>
          <w:color w:val="525866"/>
          <w:sz w:val="22"/>
        </w:rPr>
        <w:t xml:space="preserve">Wildcard: </w:t>
      </w:r>
      <w:r>
        <w:rPr>
          <w:rFonts w:ascii="Calibri" w:hAnsi="Calibri"/>
          <w:color w:val="525866"/>
          <w:sz w:val="22"/>
        </w:rPr>
        <w:t>The Iran conflict remains the single biggest unknown. Management guided commodity/logistics inflation of $1.5–2.0B for the full year assuming current commodity prices persist — any escalation or de-escalation in the conflict could meaningfully move that figure and drive a guidance revision in either direction. Additionally, the timing of the IIPA tariff refund (excluded from FCF guidance) represents potential upside surprise to free cash flow.</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not stretched, but not low. </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$43.6B</w:t>
            </w:r>
          </w:p>
        </w:tc>
        <w:tc>
          <w:tcPr>
            <w:tcW w:type="dxa" w:w="1234"/>
          </w:tcPr>
          <w:p>
            <w:r>
              <w:rPr>
                <w:rFonts w:ascii="Calibri" w:hAnsi="Calibri"/>
                <w:sz w:val="22"/>
              </w:rPr>
              <w:t>$47.1B</w:t>
            </w:r>
          </w:p>
        </w:tc>
        <w:tc>
          <w:tcPr>
            <w:tcW w:type="dxa" w:w="1234"/>
          </w:tcPr>
          <w:p>
            <w:r>
              <w:rPr>
                <w:rFonts w:ascii="Calibri" w:hAnsi="Calibri"/>
                <w:sz w:val="22"/>
              </w:rPr>
              <w:t>$46.7B</w:t>
            </w:r>
          </w:p>
        </w:tc>
        <w:tc>
          <w:tcPr>
            <w:tcW w:type="dxa" w:w="1234"/>
          </w:tcPr>
          <w:p>
            <w:r>
              <w:rPr>
                <w:rFonts w:ascii="Calibri" w:hAnsi="Calibri"/>
                <w:sz w:val="22"/>
              </w:rPr>
              <w:t>-0.9% YoY</w:t>
            </w:r>
          </w:p>
        </w:tc>
        <w:tc>
          <w:tcPr>
            <w:tcW w:type="dxa" w:w="1234"/>
          </w:tcPr>
          <w:p>
            <w:r>
              <w:rPr>
                <w:rFonts w:ascii="Calibri" w:hAnsi="Calibri"/>
                <w:sz w:val="22"/>
              </w:rPr>
              <w:t>~$185.3B (consensus FY)</w:t>
            </w:r>
          </w:p>
        </w:tc>
        <w:tc>
          <w:tcPr>
            <w:tcW w:type="dxa" w:w="1234"/>
          </w:tcPr>
          <w:p>
            <w:r>
              <w:rPr>
                <w:rFonts w:ascii="Calibri" w:hAnsi="Calibri"/>
                <w:sz w:val="22"/>
              </w:rPr>
              <w:t>N/A — no explicit revenue guidance</w:t>
            </w:r>
          </w:p>
        </w:tc>
      </w:tr>
      <w:tr>
        <w:tc>
          <w:tcPr>
            <w:tcW w:type="dxa" w:w="1234"/>
          </w:tcPr>
          <w:p>
            <w:r>
              <w:rPr>
                <w:rFonts w:ascii="Calibri" w:hAnsi="Calibri"/>
                <w:sz w:val="22"/>
              </w:rPr>
              <w:t>EPS-Diluted-Adjusted ($)</w:t>
            </w:r>
          </w:p>
        </w:tc>
        <w:tc>
          <w:tcPr>
            <w:tcW w:type="dxa" w:w="1234"/>
          </w:tcPr>
          <w:p>
            <w:r>
              <w:rPr>
                <w:rFonts w:ascii="Calibri" w:hAnsi="Calibri"/>
                <w:sz w:val="22"/>
              </w:rPr>
              <w:t>$3.70</w:t>
            </w:r>
          </w:p>
        </w:tc>
        <w:tc>
          <w:tcPr>
            <w:tcW w:type="dxa" w:w="1234"/>
          </w:tcPr>
          <w:p>
            <w:r>
              <w:rPr>
                <w:rFonts w:ascii="Calibri" w:hAnsi="Calibri"/>
                <w:sz w:val="22"/>
              </w:rPr>
              <w:t>$2.53</w:t>
            </w:r>
          </w:p>
        </w:tc>
        <w:tc>
          <w:tcPr>
            <w:tcW w:type="dxa" w:w="1234"/>
          </w:tcPr>
          <w:p>
            <w:r>
              <w:rPr>
                <w:rFonts w:ascii="Calibri" w:hAnsi="Calibri"/>
                <w:sz w:val="22"/>
              </w:rPr>
              <w:t>$3.20</w:t>
            </w:r>
          </w:p>
        </w:tc>
        <w:tc>
          <w:tcPr>
            <w:tcW w:type="dxa" w:w="1234"/>
          </w:tcPr>
          <w:p>
            <w:r>
              <w:rPr>
                <w:rFonts w:ascii="Calibri" w:hAnsi="Calibri"/>
                <w:sz w:val="22"/>
              </w:rPr>
              <w:t>+26.5% YoY</w:t>
            </w:r>
          </w:p>
        </w:tc>
        <w:tc>
          <w:tcPr>
            <w:tcW w:type="dxa" w:w="1234"/>
          </w:tcPr>
          <w:p>
            <w:r>
              <w:rPr>
                <w:rFonts w:ascii="Calibri" w:hAnsi="Calibri"/>
                <w:sz w:val="22"/>
              </w:rPr>
              <w:t>$11.50–$13.50 (mid: $12.50)</w:t>
            </w:r>
          </w:p>
        </w:tc>
        <w:tc>
          <w:tcPr>
            <w:tcW w:type="dxa" w:w="1234"/>
          </w:tcPr>
          <w:p>
            <w:r>
              <w:rPr>
                <w:rFonts w:ascii="Calibri" w:hAnsi="Calibri"/>
                <w:sz w:val="22"/>
              </w:rPr>
              <w:t>~+2.9% above midpoint (FY consensus $12.86)</w:t>
            </w:r>
          </w:p>
        </w:tc>
      </w:tr>
      <w:tr>
        <w:tc>
          <w:tcPr>
            <w:tcW w:type="dxa" w:w="1234"/>
          </w:tcPr>
          <w:p>
            <w:r>
              <w:rPr>
                <w:rFonts w:ascii="Calibri" w:hAnsi="Calibri"/>
                <w:sz w:val="22"/>
              </w:rPr>
              <w:t>GMNA EBIT-Adjusted ($B)</w:t>
            </w:r>
          </w:p>
        </w:tc>
        <w:tc>
          <w:tcPr>
            <w:tcW w:type="dxa" w:w="1234"/>
          </w:tcPr>
          <w:p>
            <w:r>
              <w:rPr>
                <w:rFonts w:ascii="Calibri" w:hAnsi="Calibri"/>
                <w:sz w:val="22"/>
              </w:rPr>
              <w:t>$3.66B (10.1% margin)</w:t>
            </w:r>
          </w:p>
        </w:tc>
        <w:tc>
          <w:tcPr>
            <w:tcW w:type="dxa" w:w="1234"/>
          </w:tcPr>
          <w:p>
            <w:r>
              <w:rPr>
                <w:rFonts w:ascii="Calibri" w:hAnsi="Calibri"/>
                <w:sz w:val="22"/>
              </w:rPr>
              <w:t>$2.42B</w:t>
            </w:r>
          </w:p>
        </w:tc>
        <w:tc>
          <w:tcPr>
            <w:tcW w:type="dxa" w:w="1234"/>
          </w:tcPr>
          <w:p>
            <w:r>
              <w:rPr>
                <w:rFonts w:ascii="Calibri" w:hAnsi="Calibri"/>
                <w:sz w:val="22"/>
              </w:rPr>
              <w:t>$3.23B</w:t>
            </w:r>
          </w:p>
        </w:tc>
        <w:tc>
          <w:tcPr>
            <w:tcW w:type="dxa" w:w="1234"/>
          </w:tcPr>
          <w:p>
            <w:r>
              <w:rPr>
                <w:rFonts w:ascii="Calibri" w:hAnsi="Calibri"/>
                <w:sz w:val="22"/>
              </w:rPr>
              <w:t>+33.6% YoY</w:t>
            </w:r>
          </w:p>
        </w:tc>
        <w:tc>
          <w:tcPr>
            <w:tcW w:type="dxa" w:w="1234"/>
          </w:tcPr>
          <w:p>
            <w:r>
              <w:rPr>
                <w:rFonts w:ascii="Calibri" w:hAnsi="Calibri"/>
                <w:sz w:val="22"/>
              </w:rPr>
              <w:t>8–10% NA margin (FY)</w:t>
            </w:r>
          </w:p>
        </w:tc>
        <w:tc>
          <w:tcPr>
            <w:tcW w:type="dxa" w:w="1234"/>
          </w:tcPr>
          <w:p>
            <w:r>
              <w:rPr>
                <w:rFonts w:ascii="Calibri" w:hAnsi="Calibri"/>
                <w:sz w:val="22"/>
              </w:rPr>
              <w:t>N/A — no explicit quarterly EBIT guidance</w:t>
            </w:r>
          </w:p>
        </w:tc>
      </w:tr>
      <w:tr>
        <w:tc>
          <w:tcPr>
            <w:tcW w:type="dxa" w:w="1234"/>
          </w:tcPr>
          <w:p>
            <w:r>
              <w:rPr>
                <w:rFonts w:ascii="Calibri" w:hAnsi="Calibri"/>
                <w:sz w:val="22"/>
              </w:rPr>
              <w:t>Adj. Auto Free Cash Flow ($B)</w:t>
            </w:r>
          </w:p>
        </w:tc>
        <w:tc>
          <w:tcPr>
            <w:tcW w:type="dxa" w:w="1234"/>
          </w:tcPr>
          <w:p>
            <w:r>
              <w:rPr>
                <w:rFonts w:ascii="Calibri" w:hAnsi="Calibri"/>
                <w:sz w:val="22"/>
              </w:rPr>
              <w:t>$1.27B</w:t>
            </w:r>
          </w:p>
        </w:tc>
        <w:tc>
          <w:tcPr>
            <w:tcW w:type="dxa" w:w="1234"/>
          </w:tcPr>
          <w:p>
            <w:r>
              <w:rPr>
                <w:rFonts w:ascii="Calibri" w:hAnsi="Calibri"/>
                <w:sz w:val="22"/>
              </w:rPr>
              <w:t>$2.83B</w:t>
            </w:r>
          </w:p>
        </w:tc>
        <w:tc>
          <w:tcPr>
            <w:tcW w:type="dxa" w:w="1234"/>
          </w:tcPr>
          <w:p>
            <w:r>
              <w:rPr>
                <w:rFonts w:ascii="Calibri" w:hAnsi="Calibri"/>
                <w:sz w:val="22"/>
              </w:rPr>
              <w:t>$3.57B</w:t>
            </w:r>
          </w:p>
        </w:tc>
        <w:tc>
          <w:tcPr>
            <w:tcW w:type="dxa" w:w="1234"/>
          </w:tcPr>
          <w:p>
            <w:r>
              <w:rPr>
                <w:rFonts w:ascii="Calibri" w:hAnsi="Calibri"/>
                <w:sz w:val="22"/>
              </w:rPr>
              <w:t>+26.2% YoY</w:t>
            </w:r>
          </w:p>
        </w:tc>
        <w:tc>
          <w:tcPr>
            <w:tcW w:type="dxa" w:w="1234"/>
          </w:tcPr>
          <w:p>
            <w:r>
              <w:rPr>
                <w:rFonts w:ascii="Calibri" w:hAnsi="Calibri"/>
                <w:sz w:val="22"/>
              </w:rPr>
              <w:t>$9.0–$11.0B (mid: $10.0B)</w:t>
            </w:r>
          </w:p>
        </w:tc>
        <w:tc>
          <w:tcPr>
            <w:tcW w:type="dxa" w:w="1234"/>
          </w:tcPr>
          <w:p>
            <w:r>
              <w:rPr>
                <w:rFonts w:ascii="Calibri" w:hAnsi="Calibri"/>
                <w:sz w:val="22"/>
              </w:rPr>
              <w:t>FY consensus $8.5B — ~15% below midpoint</w:t>
            </w:r>
          </w:p>
        </w:tc>
      </w:tr>
      <w:tr>
        <w:tc>
          <w:tcPr>
            <w:tcW w:type="dxa" w:w="1234"/>
          </w:tcPr>
          <w:p>
            <w:r>
              <w:rPr>
                <w:rFonts w:ascii="Calibri" w:hAnsi="Calibri"/>
                <w:sz w:val="22"/>
              </w:rPr>
              <w:t>GMNA Wholesale Units (K)</w:t>
            </w:r>
          </w:p>
        </w:tc>
        <w:tc>
          <w:tcPr>
            <w:tcW w:type="dxa" w:w="1234"/>
          </w:tcPr>
          <w:p>
            <w:r>
              <w:rPr>
                <w:rFonts w:ascii="Calibri" w:hAnsi="Calibri"/>
                <w:sz w:val="22"/>
              </w:rPr>
              <w:t>793K</w:t>
            </w:r>
          </w:p>
        </w:tc>
        <w:tc>
          <w:tcPr>
            <w:tcW w:type="dxa" w:w="1234"/>
          </w:tcPr>
          <w:p>
            <w:r>
              <w:rPr>
                <w:rFonts w:ascii="Calibri" w:hAnsi="Calibri"/>
                <w:sz w:val="22"/>
              </w:rPr>
              <w:t>849K</w:t>
            </w:r>
          </w:p>
        </w:tc>
        <w:tc>
          <w:tcPr>
            <w:tcW w:type="dxa" w:w="1234"/>
          </w:tcPr>
          <w:p>
            <w:r>
              <w:rPr>
                <w:rFonts w:ascii="Calibri" w:hAnsi="Calibri"/>
                <w:sz w:val="22"/>
              </w:rPr>
              <w:t>838K</w:t>
            </w:r>
          </w:p>
        </w:tc>
        <w:tc>
          <w:tcPr>
            <w:tcW w:type="dxa" w:w="1234"/>
          </w:tcPr>
          <w:p>
            <w:r>
              <w:rPr>
                <w:rFonts w:ascii="Calibri" w:hAnsi="Calibri"/>
                <w:sz w:val="22"/>
              </w:rPr>
              <w:t>-1.3% YoY</w:t>
            </w:r>
          </w:p>
        </w:tc>
        <w:tc>
          <w:tcPr>
            <w:tcW w:type="dxa" w:w="1234"/>
          </w:tcPr>
          <w:p>
            <w:r>
              <w:rPr>
                <w:rFonts w:ascii="Calibri" w:hAnsi="Calibri"/>
                <w:sz w:val="22"/>
              </w:rPr>
              <w:t>Flat to modestly up (ICE); EV lower</w:t>
            </w:r>
          </w:p>
        </w:tc>
        <w:tc>
          <w:tcPr>
            <w:tcW w:type="dxa" w:w="1234"/>
          </w:tcPr>
          <w:p>
            <w:r>
              <w:rPr>
                <w:rFonts w:ascii="Calibri" w:hAnsi="Calibri"/>
                <w:sz w:val="22"/>
              </w:rPr>
              <w:t>N/A</w:t>
            </w:r>
          </w:p>
        </w:tc>
      </w:tr>
    </w:tbl>
    <w:p>
      <w:r>
        <w:rPr>
          <w:rFonts w:ascii="Calibri" w:hAnsi="Calibri"/>
          <w:i/>
          <w:color w:val="525866"/>
          <w:sz w:val="22"/>
        </w:rPr>
        <w:t>Source: Visible Alpha Consensus and Actuals Data; GM Q1 2026 Earnings Release (April 28, 2026); GM Q1 2026 Earnings Call Transcript.</w:t>
      </w:r>
    </w:p>
    <w:p>
      <w:pPr>
        <w:pStyle w:val="Heading3"/>
      </w:pPr>
      <w:r>
        <w:rPr>
          <w:rFonts w:ascii="Calibri" w:hAnsi="Calibri"/>
          <w:b/>
          <w:color w:val="3B4259"/>
          <w:sz w:val="24"/>
        </w:rPr>
        <w:t>Table 2 — Beat/Miss History (Last 8 Quarters — Top 2 KPIs: EPS-Diluted-Adjusted &amp; GMNA EBIT-Adjusted)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EPS-Diluted-Adj.</w:t>
            </w:r>
          </w:p>
        </w:tc>
        <w:tc>
          <w:tcPr>
            <w:tcW w:type="dxa" w:w="1440"/>
          </w:tcPr>
          <w:p>
            <w:r>
              <w:rPr>
                <w:rFonts w:ascii="Calibri" w:hAnsi="Calibri"/>
                <w:sz w:val="22"/>
              </w:rPr>
              <w:t>$3.70</w:t>
            </w:r>
          </w:p>
        </w:tc>
        <w:tc>
          <w:tcPr>
            <w:tcW w:type="dxa" w:w="1440"/>
          </w:tcPr>
          <w:p>
            <w:r>
              <w:rPr>
                <w:rFonts w:ascii="Calibri" w:hAnsi="Calibri"/>
                <w:sz w:val="22"/>
              </w:rPr>
              <w:t>$2.61</w:t>
            </w:r>
          </w:p>
        </w:tc>
        <w:tc>
          <w:tcPr>
            <w:tcW w:type="dxa" w:w="1440"/>
          </w:tcPr>
          <w:p>
            <w:r>
              <w:rPr>
                <w:rFonts w:ascii="Calibri" w:hAnsi="Calibri"/>
                <w:b/>
                <w:color w:val="30A46C"/>
                <w:sz w:val="22"/>
              </w:rPr>
              <w:t>+41.8%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GMNA EBIT-Adj.</w:t>
            </w:r>
          </w:p>
        </w:tc>
        <w:tc>
          <w:tcPr>
            <w:tcW w:type="dxa" w:w="1440"/>
          </w:tcPr>
          <w:p>
            <w:r>
              <w:rPr>
                <w:rFonts w:ascii="Calibri" w:hAnsi="Calibri"/>
                <w:sz w:val="22"/>
              </w:rPr>
              <w:t>$3.66B</w:t>
            </w:r>
          </w:p>
        </w:tc>
        <w:tc>
          <w:tcPr>
            <w:tcW w:type="dxa" w:w="1440"/>
          </w:tcPr>
          <w:p>
            <w:r>
              <w:rPr>
                <w:rFonts w:ascii="Calibri" w:hAnsi="Calibri"/>
                <w:sz w:val="22"/>
              </w:rPr>
              <w:t>$2.32B</w:t>
            </w:r>
          </w:p>
        </w:tc>
        <w:tc>
          <w:tcPr>
            <w:tcW w:type="dxa" w:w="1440"/>
          </w:tcPr>
          <w:p>
            <w:r>
              <w:rPr>
                <w:rFonts w:ascii="Calibri" w:hAnsi="Calibri"/>
                <w:b/>
                <w:color w:val="30A46C"/>
                <w:sz w:val="22"/>
              </w:rPr>
              <w:t>+57.8%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EPS-Diluted-Adj.</w:t>
            </w:r>
          </w:p>
        </w:tc>
        <w:tc>
          <w:tcPr>
            <w:tcW w:type="dxa" w:w="1440"/>
          </w:tcPr>
          <w:p>
            <w:r>
              <w:rPr>
                <w:rFonts w:ascii="Calibri" w:hAnsi="Calibri"/>
                <w:sz w:val="22"/>
              </w:rPr>
              <w:t>$2.51</w:t>
            </w:r>
          </w:p>
        </w:tc>
        <w:tc>
          <w:tcPr>
            <w:tcW w:type="dxa" w:w="1440"/>
          </w:tcPr>
          <w:p>
            <w:r>
              <w:rPr>
                <w:rFonts w:ascii="Calibri" w:hAnsi="Calibri"/>
                <w:sz w:val="22"/>
              </w:rPr>
              <w:t>$2.26</w:t>
            </w:r>
          </w:p>
        </w:tc>
        <w:tc>
          <w:tcPr>
            <w:tcW w:type="dxa" w:w="1440"/>
          </w:tcPr>
          <w:p>
            <w:r>
              <w:rPr>
                <w:rFonts w:ascii="Calibri" w:hAnsi="Calibri"/>
                <w:b/>
                <w:color w:val="30A46C"/>
                <w:sz w:val="22"/>
              </w:rPr>
              <w:t>+11.1%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GMNA EBIT-Adj.</w:t>
            </w:r>
          </w:p>
        </w:tc>
        <w:tc>
          <w:tcPr>
            <w:tcW w:type="dxa" w:w="1440"/>
          </w:tcPr>
          <w:p>
            <w:r>
              <w:rPr>
                <w:rFonts w:ascii="Calibri" w:hAnsi="Calibri"/>
                <w:sz w:val="22"/>
              </w:rPr>
              <w:t>$2.24B</w:t>
            </w:r>
          </w:p>
        </w:tc>
        <w:tc>
          <w:tcPr>
            <w:tcW w:type="dxa" w:w="1440"/>
          </w:tcPr>
          <w:p>
            <w:r>
              <w:rPr>
                <w:rFonts w:ascii="Calibri" w:hAnsi="Calibri"/>
                <w:sz w:val="22"/>
              </w:rPr>
              <w:t>$2.24B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EPS-Diluted-Adj.</w:t>
            </w:r>
          </w:p>
        </w:tc>
        <w:tc>
          <w:tcPr>
            <w:tcW w:type="dxa" w:w="1440"/>
          </w:tcPr>
          <w:p>
            <w:r>
              <w:rPr>
                <w:rFonts w:ascii="Calibri" w:hAnsi="Calibri"/>
                <w:sz w:val="22"/>
              </w:rPr>
              <w:t>$2.80</w:t>
            </w:r>
          </w:p>
        </w:tc>
        <w:tc>
          <w:tcPr>
            <w:tcW w:type="dxa" w:w="1440"/>
          </w:tcPr>
          <w:p>
            <w:r>
              <w:rPr>
                <w:rFonts w:ascii="Calibri" w:hAnsi="Calibri"/>
                <w:sz w:val="22"/>
              </w:rPr>
              <w:t>$2.25</w:t>
            </w:r>
          </w:p>
        </w:tc>
        <w:tc>
          <w:tcPr>
            <w:tcW w:type="dxa" w:w="1440"/>
          </w:tcPr>
          <w:p>
            <w:r>
              <w:rPr>
                <w:rFonts w:ascii="Calibri" w:hAnsi="Calibri"/>
                <w:b/>
                <w:color w:val="30A46C"/>
                <w:sz w:val="22"/>
              </w:rPr>
              <w:t>+24.4%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GMNA EBIT-Adj.</w:t>
            </w:r>
          </w:p>
        </w:tc>
        <w:tc>
          <w:tcPr>
            <w:tcW w:type="dxa" w:w="1440"/>
          </w:tcPr>
          <w:p>
            <w:r>
              <w:rPr>
                <w:rFonts w:ascii="Calibri" w:hAnsi="Calibri"/>
                <w:sz w:val="22"/>
              </w:rPr>
              <w:t>$2.51B</w:t>
            </w:r>
          </w:p>
        </w:tc>
        <w:tc>
          <w:tcPr>
            <w:tcW w:type="dxa" w:w="1440"/>
          </w:tcPr>
          <w:p>
            <w:r>
              <w:rPr>
                <w:rFonts w:ascii="Calibri" w:hAnsi="Calibri"/>
                <w:sz w:val="22"/>
              </w:rPr>
              <w:t>$2.08B</w:t>
            </w:r>
          </w:p>
        </w:tc>
        <w:tc>
          <w:tcPr>
            <w:tcW w:type="dxa" w:w="1440"/>
          </w:tcPr>
          <w:p>
            <w:r>
              <w:rPr>
                <w:rFonts w:ascii="Calibri" w:hAnsi="Calibri"/>
                <w:b/>
                <w:color w:val="30A46C"/>
                <w:sz w:val="22"/>
              </w:rPr>
              <w:t>+20.7%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EPS-Diluted-Adj.</w:t>
            </w:r>
          </w:p>
        </w:tc>
        <w:tc>
          <w:tcPr>
            <w:tcW w:type="dxa" w:w="1440"/>
          </w:tcPr>
          <w:p>
            <w:r>
              <w:rPr>
                <w:rFonts w:ascii="Calibri" w:hAnsi="Calibri"/>
                <w:sz w:val="22"/>
              </w:rPr>
              <w:t>$2.53</w:t>
            </w:r>
          </w:p>
        </w:tc>
        <w:tc>
          <w:tcPr>
            <w:tcW w:type="dxa" w:w="1440"/>
          </w:tcPr>
          <w:p>
            <w:r>
              <w:rPr>
                <w:rFonts w:ascii="Calibri" w:hAnsi="Calibri"/>
                <w:sz w:val="22"/>
              </w:rPr>
              <w:t>$2.34</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GMNA EBIT-Adj.</w:t>
            </w:r>
          </w:p>
        </w:tc>
        <w:tc>
          <w:tcPr>
            <w:tcW w:type="dxa" w:w="1440"/>
          </w:tcPr>
          <w:p>
            <w:r>
              <w:rPr>
                <w:rFonts w:ascii="Calibri" w:hAnsi="Calibri"/>
                <w:sz w:val="22"/>
              </w:rPr>
              <w:t>$2.42B</w:t>
            </w:r>
          </w:p>
        </w:tc>
        <w:tc>
          <w:tcPr>
            <w:tcW w:type="dxa" w:w="1440"/>
          </w:tcPr>
          <w:p>
            <w:r>
              <w:rPr>
                <w:rFonts w:ascii="Calibri" w:hAnsi="Calibri"/>
                <w:sz w:val="22"/>
              </w:rPr>
              <w:t>$2.49B</w:t>
            </w:r>
          </w:p>
        </w:tc>
        <w:tc>
          <w:tcPr>
            <w:tcW w:type="dxa" w:w="1440"/>
          </w:tcPr>
          <w:p>
            <w:r>
              <w:rPr>
                <w:rFonts w:ascii="Calibri" w:hAnsi="Calibri"/>
                <w:b/>
                <w:color w:val="E5484D"/>
                <w:sz w:val="22"/>
              </w:rPr>
              <w:t>-3.0%</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EPS-Diluted-Adj.</w:t>
            </w:r>
          </w:p>
        </w:tc>
        <w:tc>
          <w:tcPr>
            <w:tcW w:type="dxa" w:w="1440"/>
          </w:tcPr>
          <w:p>
            <w:r>
              <w:rPr>
                <w:rFonts w:ascii="Calibri" w:hAnsi="Calibri"/>
                <w:sz w:val="22"/>
              </w:rPr>
              <w:t>$2.78</w:t>
            </w:r>
          </w:p>
        </w:tc>
        <w:tc>
          <w:tcPr>
            <w:tcW w:type="dxa" w:w="1440"/>
          </w:tcPr>
          <w:p>
            <w:r>
              <w:rPr>
                <w:rFonts w:ascii="Calibri" w:hAnsi="Calibri"/>
                <w:sz w:val="22"/>
              </w:rPr>
              <w:t>$2.70</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GMNA EBIT-Adj.</w:t>
            </w:r>
          </w:p>
        </w:tc>
        <w:tc>
          <w:tcPr>
            <w:tcW w:type="dxa" w:w="1440"/>
          </w:tcPr>
          <w:p>
            <w:r>
              <w:rPr>
                <w:rFonts w:ascii="Calibri" w:hAnsi="Calibri"/>
                <w:sz w:val="22"/>
              </w:rPr>
              <w:t>$3.29B</w:t>
            </w:r>
          </w:p>
        </w:tc>
        <w:tc>
          <w:tcPr>
            <w:tcW w:type="dxa" w:w="1440"/>
          </w:tcPr>
          <w:p>
            <w:r>
              <w:rPr>
                <w:rFonts w:ascii="Calibri" w:hAnsi="Calibri"/>
                <w:sz w:val="22"/>
              </w:rPr>
              <w:t>$3.20B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EPS-Diluted-Adj.</w:t>
            </w:r>
          </w:p>
        </w:tc>
        <w:tc>
          <w:tcPr>
            <w:tcW w:type="dxa" w:w="1440"/>
          </w:tcPr>
          <w:p>
            <w:r>
              <w:rPr>
                <w:rFonts w:ascii="Calibri" w:hAnsi="Calibri"/>
                <w:sz w:val="22"/>
              </w:rPr>
              <w:t>$1.92</w:t>
            </w:r>
          </w:p>
        </w:tc>
        <w:tc>
          <w:tcPr>
            <w:tcW w:type="dxa" w:w="1440"/>
          </w:tcPr>
          <w:p>
            <w:r>
              <w:rPr>
                <w:rFonts w:ascii="Calibri" w:hAnsi="Calibri"/>
                <w:sz w:val="22"/>
              </w:rPr>
              <w:t>$1.78</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GMNA EBIT-Adj.</w:t>
            </w:r>
          </w:p>
        </w:tc>
        <w:tc>
          <w:tcPr>
            <w:tcW w:type="dxa" w:w="1440"/>
          </w:tcPr>
          <w:p>
            <w:r>
              <w:rPr>
                <w:rFonts w:ascii="Calibri" w:hAnsi="Calibri"/>
                <w:sz w:val="22"/>
              </w:rPr>
              <w:t>$2.27B</w:t>
            </w:r>
          </w:p>
        </w:tc>
        <w:tc>
          <w:tcPr>
            <w:tcW w:type="dxa" w:w="1440"/>
          </w:tcPr>
          <w:p>
            <w:r>
              <w:rPr>
                <w:rFonts w:ascii="Calibri" w:hAnsi="Calibri"/>
                <w:sz w:val="22"/>
              </w:rPr>
              <w:t>$2.64B</w:t>
            </w:r>
          </w:p>
        </w:tc>
        <w:tc>
          <w:tcPr>
            <w:tcW w:type="dxa" w:w="1440"/>
          </w:tcPr>
          <w:p>
            <w:r>
              <w:rPr>
                <w:rFonts w:ascii="Calibri" w:hAnsi="Calibri"/>
                <w:b/>
                <w:color w:val="E5484D"/>
                <w:sz w:val="22"/>
              </w:rPr>
              <w:t>-14.0%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EPS-Diluted-Adj.</w:t>
            </w:r>
          </w:p>
        </w:tc>
        <w:tc>
          <w:tcPr>
            <w:tcW w:type="dxa" w:w="1440"/>
          </w:tcPr>
          <w:p>
            <w:r>
              <w:rPr>
                <w:rFonts w:ascii="Calibri" w:hAnsi="Calibri"/>
                <w:sz w:val="22"/>
              </w:rPr>
              <w:t>$2.96</w:t>
            </w:r>
          </w:p>
        </w:tc>
        <w:tc>
          <w:tcPr>
            <w:tcW w:type="dxa" w:w="1440"/>
          </w:tcPr>
          <w:p>
            <w:r>
              <w:rPr>
                <w:rFonts w:ascii="Calibri" w:hAnsi="Calibri"/>
                <w:sz w:val="22"/>
              </w:rPr>
              <w:t>$2.15</w:t>
            </w:r>
          </w:p>
        </w:tc>
        <w:tc>
          <w:tcPr>
            <w:tcW w:type="dxa" w:w="1440"/>
          </w:tcPr>
          <w:p>
            <w:r>
              <w:rPr>
                <w:rFonts w:ascii="Calibri" w:hAnsi="Calibri"/>
                <w:b/>
                <w:color w:val="30A46C"/>
                <w:sz w:val="22"/>
              </w:rPr>
              <w:t>+37.7%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GMNA EBIT-Adj.</w:t>
            </w:r>
          </w:p>
        </w:tc>
        <w:tc>
          <w:tcPr>
            <w:tcW w:type="dxa" w:w="1440"/>
          </w:tcPr>
          <w:p>
            <w:r>
              <w:rPr>
                <w:rFonts w:ascii="Calibri" w:hAnsi="Calibri"/>
                <w:sz w:val="22"/>
              </w:rPr>
              <w:t>$3.98B</w:t>
            </w:r>
          </w:p>
        </w:tc>
        <w:tc>
          <w:tcPr>
            <w:tcW w:type="dxa" w:w="1440"/>
          </w:tcPr>
          <w:p>
            <w:r>
              <w:rPr>
                <w:rFonts w:ascii="Calibri" w:hAnsi="Calibri"/>
                <w:sz w:val="22"/>
              </w:rPr>
              <w:t>$3.12B</w:t>
            </w:r>
          </w:p>
        </w:tc>
        <w:tc>
          <w:tcPr>
            <w:tcW w:type="dxa" w:w="1440"/>
          </w:tcPr>
          <w:p>
            <w:r>
              <w:rPr>
                <w:rFonts w:ascii="Calibri" w:hAnsi="Calibri"/>
                <w:b/>
                <w:color w:val="30A46C"/>
                <w:sz w:val="22"/>
              </w:rPr>
              <w:t>+27.6%</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GM has beaten EPS-diluted-adjusted consensus in 7 of the last 8 quarters, often by wide margins. GMNA EBIT-adjusted beats are less consistent — GM missed in Q4 2024 and Q2 2025 — suggesting North America margin execution is the more volatile and harder-to-predict KPI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Q2 2026 EPS estimates fell sharply post-Q1 earnings as the Iran conflict and commodity cost headwinds were digested, then partially recovered. FY 2026 estimates have held near the raised guidance midpoint, suggesting the Street believes GM can deliver on its full-year target despite Q2 headwinds.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EPS-Diluted-Adj. — Q2 2026</w:t>
            </w:r>
          </w:p>
        </w:tc>
        <w:tc>
          <w:tcPr>
            <w:tcW w:type="dxa" w:w="1080"/>
          </w:tcPr>
          <w:p>
            <w:r>
              <w:rPr>
                <w:rFonts w:ascii="Calibri" w:hAnsi="Calibri"/>
                <w:sz w:val="22"/>
              </w:rPr>
              <w:t>$3.18</w:t>
            </w:r>
          </w:p>
        </w:tc>
        <w:tc>
          <w:tcPr>
            <w:tcW w:type="dxa" w:w="1080"/>
          </w:tcPr>
          <w:p>
            <w:r>
              <w:rPr>
                <w:rFonts w:ascii="Calibri" w:hAnsi="Calibri"/>
                <w:sz w:val="22"/>
              </w:rPr>
              <w:t>$3.20</w:t>
            </w:r>
          </w:p>
        </w:tc>
        <w:tc>
          <w:tcPr>
            <w:tcW w:type="dxa" w:w="1080"/>
          </w:tcPr>
          <w:p>
            <w:r>
              <w:rPr>
                <w:rFonts w:ascii="Calibri" w:hAnsi="Calibri"/>
                <w:sz w:val="22"/>
              </w:rPr>
              <w:t>+0.6%</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EPS-Diluted-Adj. — FY 2026</w:t>
            </w:r>
          </w:p>
        </w:tc>
        <w:tc>
          <w:tcPr>
            <w:tcW w:type="dxa" w:w="1080"/>
          </w:tcPr>
          <w:p>
            <w:r>
              <w:rPr>
                <w:rFonts w:ascii="Calibri" w:hAnsi="Calibri"/>
                <w:sz w:val="22"/>
              </w:rPr>
              <w:t>$12.79</w:t>
            </w:r>
          </w:p>
        </w:tc>
        <w:tc>
          <w:tcPr>
            <w:tcW w:type="dxa" w:w="1080"/>
          </w:tcPr>
          <w:p>
            <w:r>
              <w:rPr>
                <w:rFonts w:ascii="Calibri" w:hAnsi="Calibri"/>
                <w:sz w:val="22"/>
              </w:rPr>
              <w:t>$12.86</w:t>
            </w:r>
          </w:p>
        </w:tc>
        <w:tc>
          <w:tcPr>
            <w:tcW w:type="dxa" w:w="1080"/>
          </w:tcPr>
          <w:p>
            <w:r>
              <w:rPr>
                <w:rFonts w:ascii="Calibri" w:hAnsi="Calibri"/>
                <w:sz w:val="22"/>
              </w:rPr>
              <w:t>+0.5%</w:t>
            </w:r>
          </w:p>
        </w:tc>
        <w:tc>
          <w:tcPr>
            <w:tcW w:type="dxa" w:w="1080"/>
          </w:tcPr>
          <w:p>
            <w:r>
              <w:rPr>
                <w:rFonts w:ascii="Calibri" w:hAnsi="Calibri"/>
                <w:sz w:val="22"/>
              </w:rPr>
              <w:t>$11.50–$13.50</w:t>
            </w:r>
          </w:p>
        </w:tc>
        <w:tc>
          <w:tcPr>
            <w:tcW w:type="dxa" w:w="1080"/>
          </w:tcPr>
          <w:p>
            <w:r>
              <w:rPr>
                <w:rFonts w:ascii="Calibri" w:hAnsi="Calibri"/>
                <w:sz w:val="22"/>
              </w:rPr>
              <w:t>$11.50–$13.50 (unchanged)</w:t>
            </w:r>
          </w:p>
        </w:tc>
        <w:tc>
          <w:tcPr>
            <w:tcW w:type="dxa" w:w="1080"/>
          </w:tcPr>
          <w:p>
            <w:r>
              <w:rPr>
                <w:rFonts w:ascii="Calibri" w:hAnsi="Calibri"/>
                <w:sz w:val="22"/>
              </w:rPr>
              <w:t>0%</w:t>
            </w:r>
          </w:p>
        </w:tc>
        <w:tc>
          <w:tcPr>
            <w:tcW w:type="dxa" w:w="1080"/>
          </w:tcPr>
          <w:p>
            <w:r>
              <w:rPr>
                <w:rFonts w:ascii="Calibri" w:hAnsi="Calibri"/>
                <w:sz w:val="22"/>
              </w:rPr>
              <w:t>+2.9% above midpoint ($12.50)</w:t>
            </w:r>
          </w:p>
        </w:tc>
      </w:tr>
      <w:tr>
        <w:tc>
          <w:tcPr>
            <w:tcW w:type="dxa" w:w="1080"/>
          </w:tcPr>
          <w:p>
            <w:r>
              <w:rPr>
                <w:rFonts w:ascii="Calibri" w:hAnsi="Calibri"/>
                <w:sz w:val="22"/>
              </w:rPr>
              <w:t>GMNA EBIT-Adj. — Q2 2026</w:t>
            </w:r>
          </w:p>
        </w:tc>
        <w:tc>
          <w:tcPr>
            <w:tcW w:type="dxa" w:w="1080"/>
          </w:tcPr>
          <w:p>
            <w:r>
              <w:rPr>
                <w:rFonts w:ascii="Calibri" w:hAnsi="Calibri"/>
                <w:sz w:val="22"/>
              </w:rPr>
              <w:t>$3.18B</w:t>
            </w:r>
          </w:p>
        </w:tc>
        <w:tc>
          <w:tcPr>
            <w:tcW w:type="dxa" w:w="1080"/>
          </w:tcPr>
          <w:p>
            <w:r>
              <w:rPr>
                <w:rFonts w:ascii="Calibri" w:hAnsi="Calibri"/>
                <w:sz w:val="22"/>
              </w:rPr>
              <w:t>$3.23B</w:t>
            </w:r>
          </w:p>
        </w:tc>
        <w:tc>
          <w:tcPr>
            <w:tcW w:type="dxa" w:w="1080"/>
          </w:tcPr>
          <w:p>
            <w:r>
              <w:rPr>
                <w:rFonts w:ascii="Calibri" w:hAnsi="Calibri"/>
                <w:sz w:val="22"/>
              </w:rPr>
              <w:t>+1.6%</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GMNA EBIT-Adj. — FY 2026</w:t>
            </w:r>
          </w:p>
        </w:tc>
        <w:tc>
          <w:tcPr>
            <w:tcW w:type="dxa" w:w="1080"/>
          </w:tcPr>
          <w:p>
            <w:r>
              <w:rPr>
                <w:rFonts w:ascii="Calibri" w:hAnsi="Calibri"/>
                <w:sz w:val="22"/>
              </w:rPr>
              <w:t>$12.45B</w:t>
            </w:r>
          </w:p>
        </w:tc>
        <w:tc>
          <w:tcPr>
            <w:tcW w:type="dxa" w:w="1080"/>
          </w:tcPr>
          <w:p>
            <w:r>
              <w:rPr>
                <w:rFonts w:ascii="Calibri" w:hAnsi="Calibri"/>
                <w:sz w:val="22"/>
              </w:rPr>
              <w:t>$12.71B</w:t>
            </w:r>
          </w:p>
        </w:tc>
        <w:tc>
          <w:tcPr>
            <w:tcW w:type="dxa" w:w="1080"/>
          </w:tcPr>
          <w:p>
            <w:r>
              <w:rPr>
                <w:rFonts w:ascii="Calibri" w:hAnsi="Calibri"/>
                <w:sz w:val="22"/>
              </w:rPr>
              <w:t>+2.1%</w:t>
            </w:r>
          </w:p>
        </w:tc>
        <w:tc>
          <w:tcPr>
            <w:tcW w:type="dxa" w:w="1080"/>
          </w:tcPr>
          <w:p>
            <w:r>
              <w:rPr>
                <w:rFonts w:ascii="Calibri" w:hAnsi="Calibri"/>
                <w:sz w:val="22"/>
              </w:rPr>
              <w:t>8–10% NA margin (FY)</w:t>
            </w:r>
          </w:p>
        </w:tc>
        <w:tc>
          <w:tcPr>
            <w:tcW w:type="dxa" w:w="1080"/>
          </w:tcPr>
          <w:p>
            <w:r>
              <w:rPr>
                <w:rFonts w:ascii="Calibri" w:hAnsi="Calibri"/>
                <w:sz w:val="22"/>
              </w:rPr>
              <w:t>8–10% NA margin (unchanged)</w:t>
            </w:r>
          </w:p>
        </w:tc>
        <w:tc>
          <w:tcPr>
            <w:tcW w:type="dxa" w:w="1080"/>
          </w:tcPr>
          <w:p>
            <w:r>
              <w:rPr>
                <w:rFonts w:ascii="Calibri" w:hAnsi="Calibri"/>
                <w:sz w:val="22"/>
              </w:rPr>
              <w:t>0%</w:t>
            </w:r>
          </w:p>
        </w:tc>
        <w:tc>
          <w:tcPr>
            <w:tcW w:type="dxa" w:w="1080"/>
          </w:tcPr>
          <w:p>
            <w:r>
              <w:rPr>
                <w:rFonts w:ascii="Calibri" w:hAnsi="Calibri"/>
                <w:sz w:val="22"/>
              </w:rPr>
              <w:t>N/A — range guidance</w:t>
            </w:r>
          </w:p>
        </w:tc>
      </w:tr>
      <w:tr>
        <w:tc>
          <w:tcPr>
            <w:tcW w:type="dxa" w:w="1080"/>
          </w:tcPr>
          <w:p>
            <w:r>
              <w:rPr>
                <w:rFonts w:ascii="Calibri" w:hAnsi="Calibri"/>
                <w:sz w:val="22"/>
              </w:rPr>
              <w:t>Total Revenue — Q2 2026</w:t>
            </w:r>
          </w:p>
        </w:tc>
        <w:tc>
          <w:tcPr>
            <w:tcW w:type="dxa" w:w="1080"/>
          </w:tcPr>
          <w:p>
            <w:r>
              <w:rPr>
                <w:rFonts w:ascii="Calibri" w:hAnsi="Calibri"/>
                <w:sz w:val="22"/>
              </w:rPr>
              <w:t>$47.1B</w:t>
            </w:r>
          </w:p>
        </w:tc>
        <w:tc>
          <w:tcPr>
            <w:tcW w:type="dxa" w:w="1080"/>
          </w:tcPr>
          <w:p>
            <w:r>
              <w:rPr>
                <w:rFonts w:ascii="Calibri" w:hAnsi="Calibri"/>
                <w:sz w:val="22"/>
              </w:rPr>
              <w:t>$46.7B</w:t>
            </w:r>
          </w:p>
        </w:tc>
        <w:tc>
          <w:tcPr>
            <w:tcW w:type="dxa" w:w="1080"/>
          </w:tcPr>
          <w:p>
            <w:r>
              <w:rPr>
                <w:rFonts w:ascii="Calibri" w:hAnsi="Calibri"/>
                <w:sz w:val="22"/>
              </w:rPr>
              <w:t>-0.9%</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$186.3B</w:t>
            </w:r>
          </w:p>
        </w:tc>
        <w:tc>
          <w:tcPr>
            <w:tcW w:type="dxa" w:w="1080"/>
          </w:tcPr>
          <w:p>
            <w:r>
              <w:rPr>
                <w:rFonts w:ascii="Calibri" w:hAnsi="Calibri"/>
                <w:sz w:val="22"/>
              </w:rPr>
              <w:t>$185.3B</w:t>
            </w:r>
          </w:p>
        </w:tc>
        <w:tc>
          <w:tcPr>
            <w:tcW w:type="dxa" w:w="1080"/>
          </w:tcPr>
          <w:p>
            <w:r>
              <w:rPr>
                <w:rFonts w:ascii="Calibri" w:hAnsi="Calibri"/>
                <w:sz w:val="22"/>
              </w:rPr>
              <w:t>-0.5%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GM Q1 2026 Earnings Call Transcript.</w:t>
      </w:r>
    </w:p>
    <w:p>
      <w:r>
        <w:rPr>
          <w:rFonts w:ascii="Calibri" w:hAnsi="Calibri"/>
          <w:b/>
          <w:color w:val="525866"/>
          <w:sz w:val="22"/>
        </w:rPr>
        <w:t xml:space="preserve">Commentary: </w:t>
      </w:r>
      <w:r>
        <w:rPr>
          <w:rFonts w:ascii="Calibri" w:hAnsi="Calibri"/>
          <w:color w:val="525866"/>
          <w:sz w:val="22"/>
        </w:rPr>
        <w:t>The most notable revision dynamic is the sharp intra-quarter dip and recovery in Q2 EPS estimates — from ~$3.16 pre-Q1 earnings to a trough of ~$2.35 in May (as Iran conflict costs were digested), recovering to ~$3.20 by July. FY 2026 estimates have been remarkably stable near the raised guidance midpoint, suggesting the Street trusts GM’s full-year framework even if Q2 is expected to be the toughest quarter of the year.</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GM has underperformed both the auto sector ETF (CARZ) and the S&amp;P 500 since Q1 earnings, driven by multiple compression rather than estimate cuts — the Iran conflict overhang and commodity cost uncertainty have weighed on sentiment even as the underlying business has continued to execute.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GM vs. CARZ (Global Auto ETF) vs. S&amp;P 500 (SPY) — Indexed to 100 at April 28, 2026 (Q1 2026 Earnings Date). Source: Yahoo Finance / Stock Price Data.</w:t>
      </w:r>
    </w:p>
    <w:p>
      <w:r>
        <w:rPr>
          <w:rFonts w:ascii="Calibri" w:hAnsi="Calibri"/>
          <w:b/>
          <w:color w:val="525866"/>
          <w:sz w:val="22"/>
        </w:rPr>
        <w:t xml:space="preserve">Performance Summary (Apr 28 – Jul 17, 2026): </w:t>
      </w:r>
      <w:r>
        <w:rPr>
          <w:rFonts w:ascii="Calibri" w:hAnsi="Calibri"/>
          <w:color w:val="525866"/>
          <w:sz w:val="22"/>
        </w:rPr>
        <w:t>GM: -3.6% | CARZ (Global Auto ETF): +4.6% | S&amp;P 500 (SPY): +4.4%. GM has lagged both benchmarks by approximately 8 percentage points since Q1 earnings. The underperformance is primarily multiple-driven: NTM P/E has compressed from ~6.1x to ~5.6x over the past quarter, while EV/EBITDA has moved from ~7.1x to ~6.9x. The stock briefly rallied to ~$84 in late May (likely on broader market strength and tariff optimism) before pulling back to the mid-$70s as Iran conflict concerns and commodity cost headwinds weighed on sentiment. At ~5.6x NTM P/E, GM trades at a deep discount to the S&amp;P 500 (~22x) and even to historical automotive multiples, suggesting the market continues to apply a significant discount for cyclicality and EV transition risk.</w:t>
      </w:r>
    </w:p>
    <w:p>
      <w:r>
        <w:rPr>
          <w:rFonts w:ascii="Calibri" w:hAnsi="Calibri"/>
          <w:b/>
          <w:color w:val="525866"/>
          <w:sz w:val="22"/>
        </w:rPr>
        <w:t xml:space="preserve">Sector ETF: </w:t>
      </w:r>
      <w:r>
        <w:rPr>
          <w:rFonts w:ascii="Calibri" w:hAnsi="Calibri"/>
          <w:color w:val="525866"/>
          <w:sz w:val="22"/>
        </w:rPr>
        <w:t>CARZ (First Trust NASDAQ Global Auto Index Fund) was used as the sector benchmark. It tracks global auto manufacturers and is the most appropriate sub-sector ETF for GM’s core business.</w:t>
      </w:r>
    </w:p>
    <w:p>
      <w:r>
        <w:rPr>
          <w:rFonts w:ascii="Calibri" w:hAnsi="Calibri"/>
          <w:i/>
          <w:color w:val="525866"/>
          <w:sz w:val="22"/>
        </w:rPr>
        <w:t>Source: Yahoo Finance / Stock Price Data; Stock Performance Decomposition Data.</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Iran conflict’s escalating impact on commodity and logistics costs, which management has flagged as the primary variable for Q2 and the remainder of 2026. Separately, the ongoing tariff environment and Canada trade tensions add further macro uncertainty.</w:t>
      </w:r>
    </w:p>
    <w:p>
      <w:pPr>
        <w:pStyle w:val="ListBullet"/>
        <w:ind w:left="360" w:hanging="360"/>
      </w:pPr>
      <w:r>
        <w:rPr>
          <w:rFonts w:ascii="Calibri" w:hAnsi="Calibri"/>
          <w:b/>
          <w:color w:val="525866"/>
          <w:sz w:val="22"/>
        </w:rPr>
        <w:t>Iran Conflict — Ongoing (Q2 2026 impact):</w:t>
      </w:r>
      <w:r>
        <w:rPr>
          <w:rFonts w:ascii="Calibri" w:hAnsi="Calibri"/>
          <w:color w:val="525866"/>
          <w:sz w:val="22"/>
        </w:rPr>
        <w:t xml:space="preserve"> GM flagged the Iran conflict as the “#1 thing we’re watching” at Q1 earnings (Apr 28). The conflict has raised oil prices, driving logistics and commodity cost inflation. GM guided $1.5–2.0B in commodity/logistics inflation for FY 2026 (up from prior guidance), with the incremental $500M equally weighted across Q2–Q4. In Q1, GM diverted ~7,500 full-size SUVs/pickups originally destined for the Middle East back to North America due to conflict-related logistics disruptions. </w:t>
      </w:r>
    </w:p>
    <w:p>
      <w:pPr>
        <w:pStyle w:val="ListBullet"/>
        <w:ind w:left="360" w:hanging="360"/>
      </w:pPr>
      <w:r>
        <w:rPr>
          <w:rFonts w:ascii="Calibri" w:hAnsi="Calibri"/>
          <w:b/>
          <w:color w:val="525866"/>
          <w:sz w:val="22"/>
        </w:rPr>
        <w:t>Toyota Production Shift to U.S. — July 12, 2026:</w:t>
      </w:r>
      <w:r>
        <w:rPr>
          <w:rFonts w:ascii="Calibri" w:hAnsi="Calibri"/>
          <w:color w:val="525866"/>
          <w:sz w:val="22"/>
        </w:rPr>
        <w:t xml:space="preserve"> Toyota announced it will shift some Tacoma production from Mexico to San Antonio, TX, investing $3.6B to add a second assembly line and create 2,000 jobs. </w:t>
      </w:r>
    </w:p>
    <w:p>
      <w:pPr>
        <w:pStyle w:val="ListBullet"/>
        <w:ind w:left="360" w:hanging="360"/>
      </w:pPr>
      <w:r>
        <w:rPr>
          <w:rFonts w:ascii="Calibri" w:hAnsi="Calibri"/>
          <w:b/>
          <w:color w:val="525866"/>
          <w:sz w:val="22"/>
        </w:rPr>
        <w:t>Implication for GM:</w:t>
      </w:r>
      <w:r>
        <w:rPr>
          <w:rFonts w:ascii="Calibri" w:hAnsi="Calibri"/>
          <w:color w:val="525866"/>
          <w:sz w:val="22"/>
        </w:rPr>
        <w:t xml:space="preserve"> Signals that tariff-driven onshoring is becoming a competitive reality in the truck segment. GM has already been executing its own onshoring strategy; Toyota’s move validates the direction but also signals intensifying competition in the profitable truck/SUV segment.</w:t>
      </w:r>
    </w:p>
    <w:p>
      <w:pPr>
        <w:pStyle w:val="ListBullet"/>
        <w:ind w:left="360" w:hanging="360"/>
      </w:pPr>
      <w:r>
        <w:rPr>
          <w:rFonts w:ascii="Calibri" w:hAnsi="Calibri"/>
          <w:b/>
          <w:color w:val="525866"/>
          <w:sz w:val="22"/>
        </w:rPr>
        <w:t>Canada Tariff Escalation — July 20, 2026:</w:t>
      </w:r>
      <w:r>
        <w:rPr>
          <w:rFonts w:ascii="Calibri" w:hAnsi="Calibri"/>
          <w:color w:val="525866"/>
          <w:sz w:val="22"/>
        </w:rPr>
        <w:t xml:space="preserve"> President Trump announced 50% tariffs on most Canadian goods effective in 30 days, citing discriminatory trade barriers. Exemptions include energy, potash, critical minerals, and fish. </w:t>
      </w:r>
    </w:p>
    <w:p>
      <w:pPr>
        <w:pStyle w:val="ListBullet"/>
        <w:ind w:left="360" w:hanging="360"/>
      </w:pPr>
      <w:r>
        <w:rPr>
          <w:rFonts w:ascii="Calibri" w:hAnsi="Calibri"/>
          <w:b/>
          <w:color w:val="525866"/>
          <w:sz w:val="22"/>
        </w:rPr>
        <w:t>Implication for GM:</w:t>
      </w:r>
      <w:r>
        <w:rPr>
          <w:rFonts w:ascii="Calibri" w:hAnsi="Calibri"/>
          <w:color w:val="525866"/>
          <w:sz w:val="22"/>
        </w:rPr>
        <w:t xml:space="preserve"> GM has significant Canadian manufacturing exposure (Oshawa assembly plant). If enacted, these tariffs could materially increase costs on Canadian-sourced vehicles and components. This is a new risk not reflected in current guidance.</w:t>
      </w:r>
    </w:p>
    <w:p>
      <w:pPr>
        <w:pStyle w:val="ListBullet"/>
        <w:ind w:left="360" w:hanging="360"/>
      </w:pPr>
      <w:r>
        <w:rPr>
          <w:rFonts w:ascii="Calibri" w:hAnsi="Calibri"/>
          <w:b/>
          <w:color w:val="525866"/>
          <w:sz w:val="22"/>
        </w:rPr>
        <w:t>Gordie Howe Bridge U.S.-Canada Deal — July 11, 2026:</w:t>
      </w:r>
      <w:r>
        <w:rPr>
          <w:rFonts w:ascii="Calibri" w:hAnsi="Calibri"/>
          <w:color w:val="525866"/>
          <w:sz w:val="22"/>
        </w:rPr>
        <w:t xml:space="preserve"> The U.S. and Canada reached a deal to open the $4.7B Gordie Howe International Bridge connecting Detroit to Windsor, Ontario, on July 27. The U.S. will receive half of toll revenue. </w:t>
      </w:r>
    </w:p>
    <w:p>
      <w:pPr>
        <w:pStyle w:val="ListBullet"/>
        <w:ind w:left="360" w:hanging="360"/>
      </w:pPr>
      <w:r>
        <w:rPr>
          <w:rFonts w:ascii="Calibri" w:hAnsi="Calibri"/>
          <w:b/>
          <w:color w:val="525866"/>
          <w:sz w:val="22"/>
        </w:rPr>
        <w:t>Implication for GM:</w:t>
      </w:r>
      <w:r>
        <w:rPr>
          <w:rFonts w:ascii="Calibri" w:hAnsi="Calibri"/>
          <w:color w:val="525866"/>
          <w:sz w:val="22"/>
        </w:rPr>
        <w:t xml:space="preserve"> Positive for cross-border auto supply chain logistics between Michigan and Ontario. Reduces friction for GM’s North American manufacturing network.</w:t>
      </w:r>
    </w:p>
    <w:p>
      <w:pPr>
        <w:pStyle w:val="ListBullet"/>
        <w:ind w:left="360" w:hanging="360"/>
      </w:pPr>
      <w:r>
        <w:rPr>
          <w:rFonts w:ascii="Calibri" w:hAnsi="Calibri"/>
          <w:b/>
          <w:color w:val="525866"/>
          <w:sz w:val="22"/>
        </w:rPr>
        <w:t>Ford Q2 2026 U.S. Sales Filing — July 2, 2026:</w:t>
      </w:r>
      <w:r>
        <w:rPr>
          <w:rFonts w:ascii="Calibri" w:hAnsi="Calibri"/>
          <w:color w:val="525866"/>
          <w:sz w:val="22"/>
        </w:rPr>
        <w:t xml:space="preserve"> Ford filed an 8-K disclosing its Q2 2026 U.S. sales results. Specific data not available in the filing text, but the disclosure confirms Q2 industry sales data is beginning to emerge ahead of earnings season. </w:t>
      </w:r>
    </w:p>
    <w:p>
      <w:pPr>
        <w:pStyle w:val="ListBullet"/>
        <w:ind w:left="360" w:hanging="360"/>
      </w:pPr>
      <w:r>
        <w:rPr>
          <w:rFonts w:ascii="Calibri" w:hAnsi="Calibri"/>
          <w:b/>
          <w:color w:val="525866"/>
          <w:sz w:val="22"/>
        </w:rPr>
        <w:t>Implication for GM:</w:t>
      </w:r>
      <w:r>
        <w:rPr>
          <w:rFonts w:ascii="Calibri" w:hAnsi="Calibri"/>
          <w:color w:val="525866"/>
          <w:sz w:val="22"/>
        </w:rPr>
        <w:t xml:space="preserve"> Ford’s Q2 sales data will provide a read on industry SAAR and competitive dynamics in the truck/SUV segment heading into GM’s print.</w:t>
      </w:r>
    </w:p>
    <w:p>
      <w:pPr>
        <w:pStyle w:val="ListBullet"/>
        <w:ind w:left="360" w:hanging="360"/>
      </w:pPr>
      <w:r>
        <w:rPr>
          <w:rFonts w:ascii="Calibri" w:hAnsi="Calibri"/>
          <w:b/>
          <w:color w:val="525866"/>
          <w:sz w:val="22"/>
        </w:rPr>
        <w:t>Tesla Q2 2026 Deliveries — July 2, 2026:</w:t>
      </w:r>
      <w:r>
        <w:rPr>
          <w:rFonts w:ascii="Calibri" w:hAnsi="Calibri"/>
          <w:color w:val="525866"/>
          <w:sz w:val="22"/>
        </w:rPr>
        <w:t xml:space="preserve"> Tesla filed an 8-K disclosing Q2 2026 delivery results. Tesla is scheduled to report full Q2 earnings on July 22. </w:t>
      </w:r>
    </w:p>
    <w:p>
      <w:pPr>
        <w:pStyle w:val="ListBullet"/>
        <w:ind w:left="360" w:hanging="360"/>
      </w:pPr>
      <w:r>
        <w:rPr>
          <w:rFonts w:ascii="Calibri" w:hAnsi="Calibri"/>
          <w:b/>
          <w:color w:val="525866"/>
          <w:sz w:val="22"/>
        </w:rPr>
        <w:t>Implication for GM:</w:t>
      </w:r>
      <w:r>
        <w:rPr>
          <w:rFonts w:ascii="Calibri" w:hAnsi="Calibri"/>
          <w:color w:val="525866"/>
          <w:sz w:val="22"/>
        </w:rPr>
        <w:t xml:space="preserve"> Tesla’s delivery data and earnings commentary will provide a read on EV market demand and competitive dynamics. GM’s EV market share was 13% exiting Q1 2026 (up from ~10% in December 2025); any commentary on EV pricing or demand trends from Tesla will be relevant.</w:t>
      </w:r>
    </w:p>
    <w:p>
      <w:pPr>
        <w:pStyle w:val="ListBullet"/>
        <w:ind w:left="360" w:hanging="360"/>
      </w:pPr>
      <w:r>
        <w:rPr>
          <w:rFonts w:ascii="Calibri" w:hAnsi="Calibri"/>
          <w:b/>
          <w:color w:val="525866"/>
          <w:sz w:val="22"/>
        </w:rPr>
        <w:t>Stellantis Investor Day — May 21, 2026:</w:t>
      </w:r>
      <w:r>
        <w:rPr>
          <w:rFonts w:ascii="Calibri" w:hAnsi="Calibri"/>
          <w:color w:val="525866"/>
          <w:sz w:val="22"/>
        </w:rPr>
        <w:t xml:space="preserve"> Stellantis held an investor day outlining its plan to grow North American revenue by 25% through 2030 in a flat industry, with Ram targeting the #2 truck position. Stellantis flagged raw material cost increases of ~1% of revenue beginning in Q2 2026 and stated it is not planning price increases despite inflationary pressures. </w:t>
      </w:r>
    </w:p>
    <w:p>
      <w:pPr>
        <w:pStyle w:val="ListBullet"/>
        <w:ind w:left="360" w:hanging="360"/>
      </w:pPr>
      <w:r>
        <w:rPr>
          <w:rFonts w:ascii="Calibri" w:hAnsi="Calibri"/>
          <w:b/>
          <w:color w:val="525866"/>
          <w:sz w:val="22"/>
        </w:rPr>
        <w:t>Implication for GM:</w:t>
      </w:r>
      <w:r>
        <w:rPr>
          <w:rFonts w:ascii="Calibri" w:hAnsi="Calibri"/>
          <w:color w:val="525866"/>
          <w:sz w:val="22"/>
        </w:rPr>
        <w:t xml:space="preserve"> Stellantis’s aggressive North American expansion and no-price-increase stance signals a more competitive pricing environment in Q2 and beyond, potentially limiting GM’s ability to offset cost inflation through pricing.</w:t>
      </w:r>
    </w:p>
    <w:p>
      <w:pPr>
        <w:pStyle w:val="ListBullet"/>
        <w:ind w:left="360" w:hanging="360"/>
      </w:pPr>
      <w:r>
        <w:rPr>
          <w:rFonts w:ascii="Calibri" w:hAnsi="Calibri"/>
          <w:b/>
          <w:color w:val="525866"/>
          <w:sz w:val="22"/>
        </w:rPr>
        <w:t>Macro: Trade Policy Uncertainty — Ongoing:</w:t>
      </w:r>
      <w:r>
        <w:rPr>
          <w:rFonts w:ascii="Calibri" w:hAnsi="Calibri"/>
          <w:color w:val="525866"/>
          <w:sz w:val="22"/>
        </w:rPr>
        <w:t xml:space="preserve"> The U.S. trade deficit grew 42% in May to $77.6B. The Supreme Court has significantly constrained Trump’s ability to implement tariffs via emergency powers. USMCA review is ongoing, with negotiations with Canada yet to begin formally. These dynamics create ongoing uncertainty for GM’s North American supply chain and cost structure.</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All insider transactions in the last 60 days are 10b5-1 planned sales — no discretionary open-market selling or buying. The pattern is consistent with pre-scheduled tax/liquidity management and does not signal any unusual insider view on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Mary T. Barra</w:t>
            </w:r>
          </w:p>
        </w:tc>
        <w:tc>
          <w:tcPr>
            <w:tcW w:type="dxa" w:w="1440"/>
          </w:tcPr>
          <w:p>
            <w:r>
              <w:rPr>
                <w:rFonts w:ascii="Calibri" w:hAnsi="Calibri"/>
                <w:sz w:val="22"/>
              </w:rPr>
              <w:t>Chair &amp; CEO, Director</w:t>
            </w:r>
          </w:p>
        </w:tc>
        <w:tc>
          <w:tcPr>
            <w:tcW w:type="dxa" w:w="1440"/>
          </w:tcPr>
          <w:p>
            <w:r>
              <w:rPr>
                <w:rFonts w:ascii="Calibri" w:hAnsi="Calibri"/>
                <w:sz w:val="22"/>
              </w:rPr>
              <w:t>10b5-1 Planned Sale</w:t>
            </w:r>
          </w:p>
        </w:tc>
        <w:tc>
          <w:tcPr>
            <w:tcW w:type="dxa" w:w="1440"/>
          </w:tcPr>
          <w:p>
            <w:r>
              <w:rPr>
                <w:rFonts w:ascii="Calibri" w:hAnsi="Calibri"/>
                <w:sz w:val="22"/>
              </w:rPr>
              <w:t>~$7.5M (99,239 shares)</w:t>
            </w:r>
          </w:p>
        </w:tc>
        <w:tc>
          <w:tcPr>
            <w:tcW w:type="dxa" w:w="1440"/>
          </w:tcPr>
          <w:p>
            <w:r>
              <w:rPr>
                <w:rFonts w:ascii="Calibri" w:hAnsi="Calibri"/>
                <w:sz w:val="22"/>
              </w:rPr>
              <w:t>Jun 16,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Mary T. Barra</w:t>
            </w:r>
          </w:p>
        </w:tc>
        <w:tc>
          <w:tcPr>
            <w:tcW w:type="dxa" w:w="1440"/>
          </w:tcPr>
          <w:p>
            <w:r>
              <w:rPr>
                <w:rFonts w:ascii="Calibri" w:hAnsi="Calibri"/>
                <w:sz w:val="22"/>
              </w:rPr>
              <w:t>Chair &amp; CEO, Director</w:t>
            </w:r>
          </w:p>
        </w:tc>
        <w:tc>
          <w:tcPr>
            <w:tcW w:type="dxa" w:w="1440"/>
          </w:tcPr>
          <w:p>
            <w:r>
              <w:rPr>
                <w:rFonts w:ascii="Calibri" w:hAnsi="Calibri"/>
                <w:sz w:val="22"/>
              </w:rPr>
              <w:t>10b5-1 Planned Sale</w:t>
            </w:r>
          </w:p>
        </w:tc>
        <w:tc>
          <w:tcPr>
            <w:tcW w:type="dxa" w:w="1440"/>
          </w:tcPr>
          <w:p>
            <w:r>
              <w:rPr>
                <w:rFonts w:ascii="Calibri" w:hAnsi="Calibri"/>
                <w:sz w:val="22"/>
              </w:rPr>
              <w:t>~$1.6M (20,582 shares)</w:t>
            </w:r>
          </w:p>
        </w:tc>
        <w:tc>
          <w:tcPr>
            <w:tcW w:type="dxa" w:w="1440"/>
          </w:tcPr>
          <w:p>
            <w:r>
              <w:rPr>
                <w:rFonts w:ascii="Calibri" w:hAnsi="Calibri"/>
                <w:sz w:val="22"/>
              </w:rPr>
              <w:t>Jun 9,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Paul A. Jacobson</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~$3.0M (40,000 shares)</w:t>
            </w:r>
          </w:p>
        </w:tc>
        <w:tc>
          <w:tcPr>
            <w:tcW w:type="dxa" w:w="1440"/>
          </w:tcPr>
          <w:p>
            <w:r>
              <w:rPr>
                <w:rFonts w:ascii="Calibri" w:hAnsi="Calibri"/>
                <w:sz w:val="22"/>
              </w:rPr>
              <w:t>May 26,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Rory Harvey</w:t>
            </w:r>
          </w:p>
        </w:tc>
        <w:tc>
          <w:tcPr>
            <w:tcW w:type="dxa" w:w="1440"/>
          </w:tcPr>
          <w:p>
            <w:r>
              <w:rPr>
                <w:rFonts w:ascii="Calibri" w:hAnsi="Calibri"/>
                <w:sz w:val="22"/>
              </w:rPr>
              <w:t>EVP</w:t>
            </w:r>
          </w:p>
        </w:tc>
        <w:tc>
          <w:tcPr>
            <w:tcW w:type="dxa" w:w="1440"/>
          </w:tcPr>
          <w:p>
            <w:r>
              <w:rPr>
                <w:rFonts w:ascii="Calibri" w:hAnsi="Calibri"/>
                <w:sz w:val="22"/>
              </w:rPr>
              <w:t>10b5-1 Planned Sale</w:t>
            </w:r>
          </w:p>
        </w:tc>
        <w:tc>
          <w:tcPr>
            <w:tcW w:type="dxa" w:w="1440"/>
          </w:tcPr>
          <w:p>
            <w:r>
              <w:rPr>
                <w:rFonts w:ascii="Calibri" w:hAnsi="Calibri"/>
                <w:sz w:val="22"/>
              </w:rPr>
              <w:t>~$0.7M (9,124 shares)</w:t>
            </w:r>
          </w:p>
        </w:tc>
        <w:tc>
          <w:tcPr>
            <w:tcW w:type="dxa" w:w="1440"/>
          </w:tcPr>
          <w:p>
            <w:r>
              <w:rPr>
                <w:rFonts w:ascii="Calibri" w:hAnsi="Calibri"/>
                <w:sz w:val="22"/>
              </w:rPr>
              <w:t>May 28,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Christopher Hatto</w:t>
            </w:r>
          </w:p>
        </w:tc>
        <w:tc>
          <w:tcPr>
            <w:tcW w:type="dxa" w:w="1440"/>
          </w:tcPr>
          <w:p>
            <w:r>
              <w:rPr>
                <w:rFonts w:ascii="Calibri" w:hAnsi="Calibri"/>
                <w:sz w:val="22"/>
              </w:rPr>
              <w:t>VP &amp; CAO</w:t>
            </w:r>
          </w:p>
        </w:tc>
        <w:tc>
          <w:tcPr>
            <w:tcW w:type="dxa" w:w="1440"/>
          </w:tcPr>
          <w:p>
            <w:r>
              <w:rPr>
                <w:rFonts w:ascii="Calibri" w:hAnsi="Calibri"/>
                <w:sz w:val="22"/>
              </w:rPr>
              <w:t>10b5-1 Planned Sale</w:t>
            </w:r>
          </w:p>
        </w:tc>
        <w:tc>
          <w:tcPr>
            <w:tcW w:type="dxa" w:w="1440"/>
          </w:tcPr>
          <w:p>
            <w:r>
              <w:rPr>
                <w:rFonts w:ascii="Calibri" w:hAnsi="Calibri"/>
                <w:sz w:val="22"/>
              </w:rPr>
              <w:t>~$0.5M (6,895 shares)</w:t>
            </w:r>
          </w:p>
        </w:tc>
        <w:tc>
          <w:tcPr>
            <w:tcW w:type="dxa" w:w="1440"/>
          </w:tcPr>
          <w:p>
            <w:r>
              <w:rPr>
                <w:rFonts w:ascii="Calibri" w:hAnsi="Calibri"/>
                <w:sz w:val="22"/>
              </w:rPr>
              <w:t>May 28, 2026</w:t>
            </w:r>
          </w:p>
        </w:tc>
        <w:tc>
          <w:tcPr>
            <w:tcW w:type="dxa" w:w="1440"/>
          </w:tcPr>
          <w:p>
            <w:r>
              <w:rPr>
                <w:rFonts w:ascii="Calibri" w:hAnsi="Calibri"/>
                <w:sz w:val="22"/>
              </w:rPr>
              <w:t>Pre-scheduled 10b5-1 plan; not discretionary.</w:t>
            </w:r>
          </w:p>
        </w:tc>
      </w:tr>
    </w:tbl>
    <w:p>
      <w:r>
        <w:rPr>
          <w:rFonts w:ascii="Calibri" w:hAnsi="Calibri"/>
          <w:i/>
          <w:color w:val="525866"/>
          <w:sz w:val="22"/>
        </w:rPr>
        <w:t>Source: SEC Form 4 Filings / Insider Transaction Data. All transactions are coded ‘S’ (sale/disposition) under pre-established 10b5-1 trading plans. No open-market discretionary buys or sells were filed in the last 60 days.</w:t>
      </w:r>
    </w:p>
    <w:p>
      <w:r>
        <w:br w:type="page"/>
      </w:r>
    </w:p>
    <w:p>
      <w:pPr>
        <w:pStyle w:val="Heading2"/>
      </w:pPr>
      <w:r>
        <w:rPr>
          <w:rFonts w:ascii="Calibri" w:hAnsi="Calibri"/>
          <w:b/>
          <w:color w:val="3B4259"/>
          <w:sz w:val="28"/>
        </w:rPr>
        <w:t>Peer Commentary &amp; Read-Through</w:t>
      </w:r>
    </w:p>
    <w:p>
      <w:r>
        <w:rPr>
          <w:rFonts w:ascii="Calibri" w:hAnsi="Calibri"/>
          <w:b/>
          <w:color w:val="525866"/>
          <w:sz w:val="22"/>
        </w:rPr>
        <w:t xml:space="preserve">Key Takeaway: </w:t>
      </w:r>
      <w:r>
        <w:rPr>
          <w:rFonts w:ascii="Calibri" w:hAnsi="Calibri"/>
          <w:color w:val="525866"/>
          <w:sz w:val="22"/>
        </w:rPr>
        <w:t>Peer commentary from the last 60 days points to three consistent themes relevant to GM’s Q2 2026 print: (1) raw material and logistics cost inflation is an industry-wide headwind beginning in Q2; (2) the North American truck/SUV market is becoming more competitive as Stellantis aggressively expands; and (3) the pricing environment is constrained, limiting the ability to pass through cost increases.</w:t>
      </w:r>
    </w:p>
    <w:p>
      <w:r>
        <w:rPr>
          <w:rFonts w:ascii="Calibri" w:hAnsi="Calibri"/>
          <w:b/>
          <w:color w:val="525866"/>
          <w:sz w:val="22"/>
        </w:rPr>
        <w:t xml:space="preserve">Note: </w:t>
      </w:r>
      <w:r>
        <w:rPr>
          <w:rFonts w:ascii="Calibri" w:hAnsi="Calibri"/>
          <w:i/>
          <w:color w:val="525866"/>
          <w:sz w:val="22"/>
        </w:rPr>
        <w:t>Only commentary made in the last 60 days (on or after May 21, 2026) that pertains to Q2 2026 or the current/forward outlook is included below. Retrospective commentary on Q1 2025 or earlier results has been excluded.</w:t>
      </w:r>
    </w:p>
    <w:p>
      <w:pPr>
        <w:pStyle w:val="Heading3"/>
      </w:pPr>
      <w:r>
        <w:rPr>
          <w:rFonts w:ascii="Calibri" w:hAnsi="Calibri"/>
          <w:b/>
          <w:color w:val="3B4259"/>
          <w:sz w:val="24"/>
        </w:rPr>
        <w:t>1. Stellantis Investor Day — May 21, 2026</w:t>
      </w:r>
    </w:p>
    <w:p>
      <w:r>
        <w:rPr>
          <w:rFonts w:ascii="Calibri" w:hAnsi="Calibri"/>
          <w:i/>
          <w:color w:val="525866"/>
          <w:sz w:val="22"/>
        </w:rPr>
        <w:t>Source: Stellantis Investor Day Transcript, May 21, 2026.</w:t>
      </w:r>
    </w:p>
    <w:p>
      <w:pPr>
        <w:pStyle w:val="ListBullet"/>
        <w:ind w:left="360" w:hanging="360"/>
      </w:pPr>
      <w:r>
        <w:rPr>
          <w:rFonts w:ascii="Calibri" w:hAnsi="Calibri"/>
          <w:b/>
          <w:color w:val="525866"/>
          <w:sz w:val="22"/>
        </w:rPr>
        <w:t>Raw Material Cost Inflation Starting Q2 2026:</w:t>
      </w:r>
      <w:r>
        <w:rPr>
          <w:rFonts w:ascii="Calibri" w:hAnsi="Calibri"/>
          <w:color w:val="525866"/>
          <w:sz w:val="22"/>
        </w:rPr>
        <w:t xml:space="preserve"> Stellantis explicitly flagged that it is “starting to see already in Q2” raw material cost increases of approximately 1% of revenue on a run-rate basis, growing to up to 1% over the full year. This is a direct read-through for GM, which has guided $1.5–2.0B in commodity/logistics inflation for FY 2026 — Stellantis’s commentary confirms the industry-wide nature of this headwind and suggests Q2 will be the first quarter where it is meaningfully felt.</w:t>
      </w:r>
    </w:p>
    <w:p>
      <w:pPr>
        <w:pStyle w:val="ListBullet"/>
        <w:ind w:left="360" w:hanging="360"/>
      </w:pPr>
      <w:r>
        <w:rPr>
          <w:rFonts w:ascii="Calibri" w:hAnsi="Calibri"/>
          <w:b/>
          <w:color w:val="525866"/>
          <w:sz w:val="22"/>
        </w:rPr>
        <w:t>No Price Increases Planned Despite Inflation:</w:t>
      </w:r>
      <w:r>
        <w:rPr>
          <w:rFonts w:ascii="Calibri" w:hAnsi="Calibri"/>
          <w:color w:val="525866"/>
          <w:sz w:val="22"/>
        </w:rPr>
        <w:t xml:space="preserve"> Stellantis stated it is “not planning for any price increase despite all the inflationary pressures that everybody’s seeing.” This is a significant read-through for GM’s pricing power in Q2. GM guided flat to +0.5% pricing for FY 2026 (benefiting from MY2026 price increases), but Stellantis’s stance signals a highly competitive pricing environment that could limit GM’s ability to take incremental price to offset cost inflation.</w:t>
      </w:r>
    </w:p>
    <w:p>
      <w:pPr>
        <w:pStyle w:val="ListBullet"/>
        <w:ind w:left="360" w:hanging="360"/>
      </w:pPr>
      <w:r>
        <w:rPr>
          <w:rFonts w:ascii="Calibri" w:hAnsi="Calibri"/>
          <w:b/>
          <w:color w:val="525866"/>
          <w:sz w:val="22"/>
        </w:rPr>
        <w:t>North American Truck Market Competition Intensifying:</w:t>
      </w:r>
      <w:r>
        <w:rPr>
          <w:rFonts w:ascii="Calibri" w:hAnsi="Calibri"/>
          <w:color w:val="525866"/>
          <w:sz w:val="22"/>
        </w:rPr>
        <w:t xml:space="preserve"> Stellantis outlined an aggressive plan to grow Ram to the #2 truck position, with nearly 1 million units by end of plan period. Ram was the “fastest-growing brand in North America in Q1” 2026. Stellantis is expanding into new truck segments (mid-size, compact) and growing inventory levels. This directly challenges GM’s Silverado, Colorado, and Canyon franchises — the highest-margin vehicles in GM’s portfolio.</w:t>
      </w:r>
    </w:p>
    <w:p>
      <w:pPr>
        <w:pStyle w:val="ListBullet"/>
        <w:ind w:left="360" w:hanging="360"/>
      </w:pPr>
      <w:r>
        <w:rPr>
          <w:rFonts w:ascii="Calibri" w:hAnsi="Calibri"/>
          <w:b/>
          <w:color w:val="525866"/>
          <w:sz w:val="22"/>
        </w:rPr>
        <w:t>Demand Shift Toward Lower-Priced Trucks:</w:t>
      </w:r>
      <w:r>
        <w:rPr>
          <w:rFonts w:ascii="Calibri" w:hAnsi="Calibri"/>
          <w:color w:val="525866"/>
          <w:sz w:val="22"/>
        </w:rPr>
        <w:t xml:space="preserve"> Stellantis noted that “inflation and cost pressure might move demand of pickup buyers into the lower segment as we see already.” This is a potential headwind for GM’s mix in Q2, as consumers trade down from higher-trim Silverados and GMC Sierras to lower-priced alternatives.</w:t>
      </w:r>
    </w:p>
    <w:p>
      <w:pPr>
        <w:pStyle w:val="ListBullet"/>
        <w:ind w:left="360" w:hanging="360"/>
      </w:pPr>
      <w:r>
        <w:rPr>
          <w:rFonts w:ascii="Calibri" w:hAnsi="Calibri"/>
          <w:b/>
          <w:color w:val="525866"/>
          <w:sz w:val="22"/>
        </w:rPr>
        <w:t>Tariff Mitigation via U.S. Production Increase:</w:t>
      </w:r>
      <w:r>
        <w:rPr>
          <w:rFonts w:ascii="Calibri" w:hAnsi="Calibri"/>
          <w:color w:val="525866"/>
          <w:sz w:val="22"/>
        </w:rPr>
        <w:t xml:space="preserve"> Stellantis stated it is increasing U.S. production “which will help offset tariff pressures.” This mirrors GM’s own onshoring strategy and confirms that tariff mitigation through domestic production is the industry’s primary response — validating GM’s approach but also signaling that the competitive landscape for U.S. manufacturing capacity is tightening.</w:t>
      </w:r>
    </w:p>
    <w:p>
      <w:pPr>
        <w:pStyle w:val="Heading3"/>
      </w:pPr>
      <w:r>
        <w:rPr>
          <w:rFonts w:ascii="Calibri" w:hAnsi="Calibri"/>
          <w:b/>
          <w:color w:val="3B4259"/>
          <w:sz w:val="24"/>
        </w:rPr>
        <w:t>2. Ford Q2 2026 U.S. Sales — July 2, 2026</w:t>
      </w:r>
    </w:p>
    <w:p>
      <w:r>
        <w:rPr>
          <w:rFonts w:ascii="Calibri" w:hAnsi="Calibri"/>
          <w:i/>
          <w:color w:val="525866"/>
          <w:sz w:val="22"/>
        </w:rPr>
        <w:t>Source: Ford 8-K, July 2, 2026.</w:t>
      </w:r>
    </w:p>
    <w:p>
      <w:pPr>
        <w:pStyle w:val="ListBullet"/>
        <w:ind w:left="360" w:hanging="360"/>
      </w:pPr>
      <w:r>
        <w:rPr>
          <w:rFonts w:ascii="Calibri" w:hAnsi="Calibri"/>
          <w:b/>
          <w:color w:val="525866"/>
          <w:sz w:val="22"/>
        </w:rPr>
        <w:t>Ford filed its Q2 2026 U.S. sales results on July 2, 2026.</w:t>
      </w:r>
      <w:r>
        <w:rPr>
          <w:rFonts w:ascii="Calibri" w:hAnsi="Calibri"/>
          <w:color w:val="525866"/>
          <w:sz w:val="22"/>
        </w:rPr>
        <w:t xml:space="preserve"> The specific sales figures were not available in the filing text, but the disclosure confirms that Q2 2026 industry sales data is now available. Ford’s Q2 U.S. sales results will provide a read on industry SAAR trends, truck/SUV demand, and competitive dynamics in GM’s core North American market. Ford is scheduled to report full Q2 earnings after GM, so its sales data is the primary available read-through on Q2 industry conditions.</w:t>
      </w:r>
    </w:p>
    <w:p>
      <w:pPr>
        <w:pStyle w:val="Heading3"/>
      </w:pPr>
      <w:r>
        <w:rPr>
          <w:rFonts w:ascii="Calibri" w:hAnsi="Calibri"/>
          <w:b/>
          <w:color w:val="3B4259"/>
          <w:sz w:val="24"/>
        </w:rPr>
        <w:t>3. Tesla Q2 2026 Deliveries — July 2, 2026</w:t>
      </w:r>
    </w:p>
    <w:p>
      <w:r>
        <w:rPr>
          <w:rFonts w:ascii="Calibri" w:hAnsi="Calibri"/>
          <w:i/>
          <w:color w:val="525866"/>
          <w:sz w:val="22"/>
        </w:rPr>
        <w:t>Source: Tesla 8-K, July 2, 2026.</w:t>
      </w:r>
    </w:p>
    <w:p>
      <w:pPr>
        <w:pStyle w:val="ListBullet"/>
        <w:ind w:left="360" w:hanging="360"/>
      </w:pPr>
      <w:r>
        <w:rPr>
          <w:rFonts w:ascii="Calibri" w:hAnsi="Calibri"/>
          <w:b/>
          <w:color w:val="525866"/>
          <w:sz w:val="22"/>
        </w:rPr>
        <w:t>Tesla disclosed Q2 2026 delivery results on July 2, 2026.</w:t>
      </w:r>
      <w:r>
        <w:rPr>
          <w:rFonts w:ascii="Calibri" w:hAnsi="Calibri"/>
          <w:color w:val="525866"/>
          <w:sz w:val="22"/>
        </w:rPr>
        <w:t xml:space="preserve"> Tesla is scheduled to report full Q2 earnings on July 22 (the day after GM). Tesla’s delivery data and earnings commentary will provide a read on EV market demand, pricing dynamics, and competitive intensity in the EV segment. GM’s EV market share was 13% exiting Q1 2026 (up from ~10% in December 2025); any commentary from Tesla on EV demand stabilization or pricing pressure will be directly relevant to GM’s EV volume and margin trajectory in Q2.</w:t>
      </w:r>
    </w:p>
    <w:p>
      <w:pPr>
        <w:pStyle w:val="Heading3"/>
      </w:pPr>
      <w:r>
        <w:rPr>
          <w:rFonts w:ascii="Calibri" w:hAnsi="Calibri"/>
          <w:b/>
          <w:color w:val="3B4259"/>
          <w:sz w:val="24"/>
        </w:rPr>
        <w:t>4. Toyota U.S. Production Expansion — July 9–12, 2026</w:t>
      </w:r>
    </w:p>
    <w:p>
      <w:r>
        <w:rPr>
          <w:rFonts w:ascii="Calibri" w:hAnsi="Calibri"/>
          <w:i/>
          <w:color w:val="525866"/>
          <w:sz w:val="22"/>
        </w:rPr>
        <w:t>Source: News Digest / CNN, July 12, 2026.</w:t>
      </w:r>
    </w:p>
    <w:p>
      <w:pPr>
        <w:pStyle w:val="ListBullet"/>
        <w:ind w:left="360" w:hanging="360"/>
      </w:pPr>
      <w:r>
        <w:rPr>
          <w:rFonts w:ascii="Calibri" w:hAnsi="Calibri"/>
          <w:b/>
          <w:color w:val="525866"/>
          <w:sz w:val="22"/>
        </w:rPr>
        <w:t>Toyota announced a $3.6B investment to expand Tacoma production in San Antonio, TX,</w:t>
      </w:r>
      <w:r>
        <w:rPr>
          <w:rFonts w:ascii="Calibri" w:hAnsi="Calibri"/>
          <w:color w:val="525866"/>
          <w:sz w:val="22"/>
        </w:rPr>
        <w:t xml:space="preserve"> shifting production from Mexico to the U.S. in response to tariff pressures. Toyota stated that “while we are impacted by evolving trade policies, our investments are multi-decade decisions based on broader strategic goals.”</w:t>
      </w:r>
    </w:p>
    <w:p>
      <w:pPr>
        <w:pStyle w:val="ListBullet"/>
        <w:ind w:left="360" w:hanging="360"/>
      </w:pPr>
      <w:r>
        <w:rPr>
          <w:rFonts w:ascii="Calibri" w:hAnsi="Calibri"/>
          <w:b/>
          <w:color w:val="525866"/>
          <w:sz w:val="22"/>
        </w:rPr>
        <w:t>Read-through for GM:</w:t>
      </w:r>
      <w:r>
        <w:rPr>
          <w:rFonts w:ascii="Calibri" w:hAnsi="Calibri"/>
          <w:color w:val="525866"/>
          <w:sz w:val="22"/>
        </w:rPr>
        <w:t xml:space="preserve"> Toyota’s move validates GM’s onshoring strategy and confirms that tariff-driven production shifts are becoming a competitive reality. However, it also signals that the profitable mid-size truck segment (where GM competes with the Colorado) will face intensified competition from a refreshed, U.S.-built Tacoma. More broadly, the fact that Toyota is the “exception” among automakers in moving production to the U.S. (most prefer to pay tariffs) suggests GM’s more aggressive onshoring stance may be a competitive differentiator over time.</w:t>
      </w:r>
    </w:p>
    <w:p>
      <w:pPr>
        <w:pStyle w:val="Heading3"/>
      </w:pPr>
      <w:r>
        <w:rPr>
          <w:rFonts w:ascii="Calibri" w:hAnsi="Calibri"/>
          <w:b/>
          <w:color w:val="3B4259"/>
          <w:sz w:val="24"/>
        </w:rPr>
        <w:t>5. Macro: Canada Tariff Threat — July 17–20, 2026</w:t>
      </w:r>
    </w:p>
    <w:p>
      <w:r>
        <w:rPr>
          <w:rFonts w:ascii="Calibri" w:hAnsi="Calibri"/>
          <w:i/>
          <w:color w:val="525866"/>
          <w:sz w:val="22"/>
        </w:rPr>
        <w:t>Source: Washington Post / News Digest, July 17–20, 2026.</w:t>
      </w:r>
    </w:p>
    <w:p>
      <w:pPr>
        <w:pStyle w:val="ListBullet"/>
        <w:ind w:left="360" w:hanging="360"/>
      </w:pPr>
      <w:r>
        <w:rPr>
          <w:rFonts w:ascii="Calibri" w:hAnsi="Calibri"/>
          <w:b/>
          <w:color w:val="525866"/>
          <w:sz w:val="22"/>
        </w:rPr>
        <w:t>President Trump threatened 50% tariffs on most Canadian goods effective in 30 days,</w:t>
      </w:r>
      <w:r>
        <w:rPr>
          <w:rFonts w:ascii="Calibri" w:hAnsi="Calibri"/>
          <w:color w:val="525866"/>
          <w:sz w:val="22"/>
        </w:rPr>
        <w:t xml:space="preserve"> citing discriminatory trade barriers. Exemptions include energy, potash, critical minerals, and fish. The action relies on a 1930 trade law provision. Analysts characterize the 30-day delay as “a negotiating tactic.”</w:t>
      </w:r>
    </w:p>
    <w:p>
      <w:pPr>
        <w:pStyle w:val="ListBullet"/>
        <w:ind w:left="360" w:hanging="360"/>
      </w:pPr>
      <w:r>
        <w:rPr>
          <w:rFonts w:ascii="Calibri" w:hAnsi="Calibri"/>
          <w:b/>
          <w:color w:val="525866"/>
          <w:sz w:val="22"/>
        </w:rPr>
        <w:t>Read-through for GM:</w:t>
      </w:r>
      <w:r>
        <w:rPr>
          <w:rFonts w:ascii="Calibri" w:hAnsi="Calibri"/>
          <w:color w:val="525866"/>
          <w:sz w:val="22"/>
        </w:rPr>
        <w:t xml:space="preserve"> GM’s Oshawa, Ontario assembly plant produces Silverado and Sierra pickups for the North American market. If 50% tariffs on Canadian goods are enacted, GM’s Canadian-sourced vehicles would face significant cost increases. This is a new risk not reflected in current guidance and could be a material negative catalyst if the tariffs are implemented. Management will likely be asked about this on the Q2 earnings call.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