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oogl-earnings-predictions--2026-07-22"/>
    <w:p>
      <w:pPr>
        <w:pStyle w:val="Heading1"/>
      </w:pPr>
      <w:r>
        <w:t xml:space="preserve">GOOGL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Google Cloud revenue (YoY growth)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22.8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 </m:t>
              </m:r>
              <m:r>
                <m:t>64</m:t>
              </m:r>
            </m:oMath>
            <w:r>
              <w:t xml:space="preserve">21.8B (+~57%)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Google Search &amp; other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64.8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 </m:t>
              </m:r>
              <m:r>
                <m:t>18</m:t>
              </m:r>
            </m:oMath>
            <w:r>
              <w:t xml:space="preserve">63.5B (+~16%)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~33.0% (op inc ~</w:t>
            </w:r>
            <m:oMath>
              <m:r>
                <m:t>39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t>31.7</m:t>
              </m:r>
            </m:oMath>
            <w:r>
              <w:t xml:space="preserve">37B)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raised to ~</w:t>
            </w:r>
            <m:oMath>
              <m:r>
                <m:t>190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185B (FY2026) — higher spend, FCF headwind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Google Cloud backlog (RPO)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520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462B (Q2 2026, +sequential) vs. Street ~$490B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Gemini 3.5 Pro / frontier-model roadmap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flagship 3.5 Pro launch slips to ~Q3 2026 vs. teased ~June 2026; mgmt likely says 'landing soon' — 0 hard number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Clean beat on Cloud (+~64%, still capacity-constrained), high-teens Search and ~33% operating margin against a beaten-down, low-expectations setup (~</w:t>
            </w:r>
            <m:oMath>
              <m:r>
                <m:t>347</m:t>
              </m:r>
              <m:r>
                <m:rPr>
                  <m:sty m:val="p"/>
                </m:rPr>
                <m:t>,</m:t>
              </m:r>
              <m:r>
                <m:t>d</m:t>
              </m:r>
              <m:r>
                <m:t>o</m:t>
              </m:r>
              <m:r>
                <m:t>w</m:t>
              </m:r>
              <m:r>
                <m:t>n</m:t>
              </m:r>
              <m:r>
                <m:t> </m:t>
              </m:r>
              <m:r>
                <m:t>13</m:t>
              </m:r>
            </m:oMath>
            <w:r>
              <w:t xml:space="preserve">190B that cuts FCF/EPS via depreciation, and the unresolved Gemini 3.5 Pro delay caps follow-through. Net effect: the initial gain largely holds rather than compounds — hence stabilize.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2026-07-22T00:42:33Z</dcterms:created>
  <dcterms:modified xsi:type="dcterms:W3CDTF">2026-07-22T00:42:33Z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