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GOOGL before writing the preview. Let me start by gathering recent earnings materials, news, and analyst expectations.Let me read the most recent earnings call transcript and get stock price context, plus recent macro/tech backdrop.Let me get the year-ago Q2 2025 numbers for comparison and check analyst consensus estimates.I have what I need. Let me write the preview.</w:t>
      </w:r>
    </w:p>
    <w:bookmarkStart w:id="19" w:name="googl-alphabet--q2-2026-earnings-preview"/>
    <w:p>
      <w:pPr>
        <w:pStyle w:val="Heading1"/>
      </w:pPr>
      <w:r>
        <w:t xml:space="preserve">GOOGL (Alphabet) — Q2 2026 Earnings Preview</w:t>
      </w:r>
    </w:p>
    <w:bookmarkStart w:id="9" w:name="X0e3d2cca94661925504a01c273a5527ed7892f8"/>
    <w:p>
      <w:pPr>
        <w:pStyle w:val="Heading3"/>
      </w:pPr>
      <w:r>
        <w:t xml:space="preserve">Reports after the close Wednesday, July 22, 2026</w:t>
      </w:r>
    </w:p>
    <w:p>
      <w:r>
        <w:pict>
          <v:rect style="width:0;height:1.5pt" o:hralign="center" o:hrstd="t" o:hr="t"/>
        </w:pict>
      </w:r>
    </w:p>
    <w:bookmarkEnd w:id="9"/>
    <w:bookmarkStart w:id="10" w:name="the-one-line-setup"/>
    <w:p>
      <w:pPr>
        <w:pStyle w:val="Heading2"/>
      </w:pPr>
      <w:r>
        <w:t xml:space="preserve">The one-line setup</w:t>
      </w:r>
    </w:p>
    <w:p>
      <w:pPr>
        <w:pStyle w:val="FirstParagraph"/>
      </w:pPr>
      <w:r>
        <w:t xml:space="preserve">Alphabet heads into this print as a stock that the market still treats as an AI</w:t>
      </w:r>
      <w:r>
        <w:t xml:space="preserve"> </w:t>
      </w:r>
      <w:r>
        <w:rPr>
          <w:i/>
          <w:iCs/>
        </w:rPr>
        <w:t xml:space="preserve">winner</w:t>
      </w:r>
      <w:r>
        <w:t xml:space="preserve"> </w:t>
      </w:r>
      <w:r>
        <w:t xml:space="preserve">— Cloud is compounding above 60%, Search is defying the "AI will kill it" narrative, and even Warren Buffett's Berkshire has been building a position — but sentiment has turned jittery in the last two weeks on two specific fears: (1) its flagship</w:t>
      </w:r>
      <w:r>
        <w:t xml:space="preserve"> </w:t>
      </w:r>
      <w:r>
        <w:rPr>
          <w:b/>
          <w:bCs/>
        </w:rPr>
        <w:t xml:space="preserve">Gemini 3.5 Pro model is delayed</w:t>
      </w:r>
      <w:r>
        <w:t xml:space="preserve"> </w:t>
      </w:r>
      <w:r>
        <w:t xml:space="preserve">and losing the frontier-model race to OpenAI and Anthropic, and (2) capex is exploding with no ceiling in sight. This report is a referendum on whether the ~$180–190B AI spending is translating into durable revenue and margin, or just depreciation.</w:t>
      </w:r>
    </w:p>
    <w:p>
      <w:r>
        <w:pict>
          <v:rect style="width:0;height:1.5pt" o:hralign="center" o:hrstd="t" o:hr="t"/>
        </w:pict>
      </w:r>
    </w:p>
    <w:bookmarkEnd w:id="10"/>
    <w:bookmarkStart w:id="11" w:name="X3f912464da221dffbd6fd5c31bccd364bcd123c"/>
    <w:p>
      <w:pPr>
        <w:pStyle w:val="Heading2"/>
      </w:pPr>
      <w:r>
        <w:t xml:space="preserve">Consensus &amp; what "beating" means this quarter</w:t>
      </w:r>
    </w:p>
    <w:p>
      <w:pPr>
        <w:pStyle w:val="FirstParagraph"/>
      </w:pPr>
      <w:r>
        <w:t xml:space="preserve">Based on analyst compilations, Street consensus is roughly:</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Q2 2026 consensus</w:t>
            </w:r>
          </w:p>
        </w:tc>
        <w:tc>
          <w:tcPr/>
          <w:p>
            <w:pPr>
              <w:pStyle w:val="Compact"/>
            </w:pPr>
            <w:r>
              <w:t xml:space="preserve">Q2 2025 actual</w:t>
            </w:r>
          </w:p>
        </w:tc>
        <w:tc>
          <w:tcPr/>
          <w:p>
            <w:pPr>
              <w:pStyle w:val="Compact"/>
            </w:pPr>
            <w:r>
              <w:t xml:space="preserve">Implied YoY</w:t>
            </w:r>
          </w:p>
        </w:tc>
      </w:tr>
      <w:tr>
        <w:tc>
          <w:tcPr/>
          <w:p>
            <w:pPr>
              <w:pStyle w:val="Compact"/>
            </w:pPr>
            <w:r>
              <w:t xml:space="preserve">Revenue</w:t>
            </w:r>
          </w:p>
        </w:tc>
        <w:tc>
          <w:tcPr/>
          <w:p>
            <w:pPr>
              <w:pStyle w:val="Compact"/>
            </w:pPr>
            <w:r>
              <w:t xml:space="preserve">~$116.8B (range $113.6–120.2B)</w:t>
            </w:r>
          </w:p>
        </w:tc>
        <w:tc>
          <w:tcPr/>
          <w:p>
            <w:pPr>
              <w:pStyle w:val="Compact"/>
            </w:pPr>
            <w:r>
              <w:t xml:space="preserve">$96.4B</w:t>
            </w:r>
          </w:p>
        </w:tc>
        <w:tc>
          <w:tcPr/>
          <w:p>
            <w:pPr>
              <w:pStyle w:val="Compact"/>
            </w:pPr>
            <w:r>
              <w:t xml:space="preserve">~+21%</w:t>
            </w:r>
          </w:p>
        </w:tc>
      </w:tr>
      <w:tr>
        <w:tc>
          <w:tcPr/>
          <w:p>
            <w:pPr>
              <w:pStyle w:val="Compact"/>
            </w:pPr>
            <w:r>
              <w:t xml:space="preserve">EPS (GAAP)</w:t>
            </w:r>
          </w:p>
        </w:tc>
        <w:tc>
          <w:tcPr/>
          <w:p>
            <w:pPr>
              <w:pStyle w:val="Compact"/>
            </w:pPr>
            <w:r>
              <w:t xml:space="preserve">~</w:t>
            </w:r>
            <m:oMath>
              <m:r>
                <m:t>2.86</m:t>
              </m:r>
              <m:r>
                <m:rPr>
                  <m:sty m:val="p"/>
                </m:rPr>
                <m:t>–</m:t>
              </m:r>
            </m:oMath>
            <w:r>
              <w:t xml:space="preserve">2.89 (range</w:t>
            </w:r>
            <w:r>
              <w:t xml:space="preserve"> </w:t>
            </w:r>
            <m:oMath>
              <m:r>
                <m:t>2.59</m:t>
              </m:r>
              <m:r>
                <m:rPr>
                  <m:sty m:val="p"/>
                </m:rPr>
                <m:t>–</m:t>
              </m:r>
            </m:oMath>
            <w:r>
              <w:t xml:space="preserve">3.60)</w:t>
            </w:r>
          </w:p>
        </w:tc>
        <w:tc>
          <w:tcPr/>
          <w:p>
            <w:pPr>
              <w:pStyle w:val="Compact"/>
            </w:pPr>
            <w:r>
              <w:t xml:space="preserve">$2.31</w:t>
            </w:r>
          </w:p>
        </w:tc>
        <w:tc>
          <w:tcPr/>
          <w:p>
            <w:pPr>
              <w:pStyle w:val="Compact"/>
            </w:pPr>
            <w:r>
              <w:t xml:space="preserve">~+24%</w:t>
            </w:r>
          </w:p>
        </w:tc>
      </w:tr>
    </w:tbl>
    <w:p>
      <w:pPr>
        <w:pStyle w:val="BodyText"/>
      </w:pPr>
      <w:r>
        <w:rPr>
          <w:b/>
          <w:bCs/>
        </w:rPr>
        <w:t xml:space="preserve">A critical caveat on EPS:</w:t>
      </w:r>
      <w:r>
        <w:t xml:space="preserve"> </w:t>
      </w:r>
      <w:r>
        <w:t xml:space="preserve">GAAP EPS this quarter may be nearly useless as a "beat/miss" signal. In Q1 2026, Alphabet reported EPS of</w:t>
      </w:r>
      <w:r>
        <w:t xml:space="preserve"> </w:t>
      </w:r>
      <m:oMath>
        <m:r>
          <m:t>5.11</m:t>
        </m:r>
        <m:r>
          <m:rPr>
            <m:sty m:val="p"/>
          </m:rPr>
          <m:t>*</m:t>
        </m:r>
        <m:r>
          <m:rPr>
            <m:sty m:val="p"/>
          </m:rPr>
          <m:t>*</m:t>
        </m:r>
        <m:r>
          <m:rPr>
            <m:sty m:val="p"/>
          </m:rPr>
          <m:t>,</m:t>
        </m:r>
        <m:r>
          <m:t>b</m:t>
        </m:r>
        <m:r>
          <m:t>u</m:t>
        </m:r>
        <m:r>
          <m:t>t</m:t>
        </m:r>
        <m:r>
          <m:t>t</m:t>
        </m:r>
        <m:r>
          <m:t>h</m:t>
        </m:r>
        <m:r>
          <m:t>a</m:t>
        </m:r>
        <m:r>
          <m:t>t</m:t>
        </m:r>
        <m:r>
          <m:t>w</m:t>
        </m:r>
        <m:r>
          <m:t>a</m:t>
        </m:r>
        <m:r>
          <m:t>s</m:t>
        </m:r>
        <m:r>
          <m:t>m</m:t>
        </m:r>
        <m:r>
          <m:t>a</m:t>
        </m:r>
        <m:r>
          <m:t>s</m:t>
        </m:r>
        <m:r>
          <m:t>s</m:t>
        </m:r>
        <m:r>
          <m:t>i</m:t>
        </m:r>
        <m:r>
          <m:t>v</m:t>
        </m:r>
        <m:r>
          <m:t>e</m:t>
        </m:r>
        <m:r>
          <m:t>l</m:t>
        </m:r>
        <m:r>
          <m:t>y</m:t>
        </m:r>
        <m:r>
          <m:t>i</m:t>
        </m:r>
        <m:r>
          <m:t>n</m:t>
        </m:r>
        <m:r>
          <m:t>f</m:t>
        </m:r>
        <m:r>
          <m:t>l</m:t>
        </m:r>
        <m:r>
          <m:t>a</m:t>
        </m:r>
        <m:r>
          <m:t>t</m:t>
        </m:r>
        <m:r>
          <m:t>e</m:t>
        </m:r>
        <m:r>
          <m:t>d</m:t>
        </m:r>
        <m:r>
          <m:t>b</m:t>
        </m:r>
        <m:r>
          <m:t>y</m:t>
        </m:r>
        <m:r>
          <m:rPr>
            <m:sty m:val="p"/>
          </m:rPr>
          <m:t>*</m:t>
        </m:r>
        <m:r>
          <m:rPr>
            <m:sty m:val="p"/>
          </m:rPr>
          <m:t>*</m:t>
        </m:r>
      </m:oMath>
      <w:r>
        <w:rPr>
          <w:b/>
          <w:bCs/>
        </w:rPr>
        <w:t xml:space="preserve">37.7B of "Other income and expenses," driven primarily by unrealized gains on its non-marketable equity portfolio.</w:t>
      </w:r>
      <w:r>
        <w:t xml:space="preserve"> </w:t>
      </w:r>
      <w:r>
        <w:t xml:space="preserve">Alphabet owns roughly a</w:t>
      </w:r>
      <w:r>
        <w:t xml:space="preserve"> </w:t>
      </w:r>
      <w:r>
        <w:rPr>
          <w:b/>
          <w:bCs/>
        </w:rPr>
        <w:t xml:space="preserve">14% stake in Anthropic</w:t>
      </w:r>
      <w:r>
        <w:t xml:space="preserve">, which has been marked up sharply again since March — and at least one major bank thinks the reported EPS could print somewhere near **</w:t>
      </w:r>
      <m:oMath>
        <m:r>
          <m:t>8</m:t>
        </m:r>
        <m:r>
          <m:rPr>
            <m:sty m:val="p"/>
          </m:rPr>
          <m:t>*</m:t>
        </m:r>
        <m:r>
          <m:rPr>
            <m:sty m:val="p"/>
          </m:rPr>
          <m:t>*</m:t>
        </m:r>
        <m:r>
          <m:t>o</m:t>
        </m:r>
        <m:r>
          <m:t>n</m:t>
        </m:r>
        <m:r>
          <m:t>t</m:t>
        </m:r>
        <m:r>
          <m:t>h</m:t>
        </m:r>
        <m:r>
          <m:t>a</m:t>
        </m:r>
        <m:r>
          <m:t>t</m:t>
        </m:r>
        <m:r>
          <m:t>m</m:t>
        </m:r>
        <m:r>
          <m:t>a</m:t>
        </m:r>
        <m:r>
          <m:t>r</m:t>
        </m:r>
        <m:r>
          <m:t>k</m:t>
        </m:r>
        <m:r>
          <m:t>u</m:t>
        </m:r>
        <m:r>
          <m:t>p</m:t>
        </m:r>
        <m:r>
          <m:t>a</m:t>
        </m:r>
        <m:r>
          <m:t>l</m:t>
        </m:r>
        <m:r>
          <m:t>o</m:t>
        </m:r>
        <m:r>
          <m:t>n</m:t>
        </m:r>
        <m:r>
          <m:t>e</m:t>
        </m:r>
        <m:r>
          <m:rPr>
            <m:sty m:val="p"/>
          </m:rPr>
          <m:t>.</m:t>
        </m:r>
        <m:r>
          <m:t>T</m:t>
        </m:r>
        <m:r>
          <m:t>h</m:t>
        </m:r>
        <m:r>
          <m:t>e</m:t>
        </m:r>
        <m:r>
          <m:t>u</m:t>
        </m:r>
        <m:r>
          <m:t>n</m:t>
        </m:r>
        <m:r>
          <m:t>u</m:t>
        </m:r>
        <m:r>
          <m:t>s</m:t>
        </m:r>
        <m:r>
          <m:t>u</m:t>
        </m:r>
        <m:r>
          <m:t>a</m:t>
        </m:r>
        <m:r>
          <m:t>l</m:t>
        </m:r>
        <m:r>
          <m:t>l</m:t>
        </m:r>
        <m:r>
          <m:t>y</m:t>
        </m:r>
        <m:r>
          <m:t>w</m:t>
        </m:r>
        <m:r>
          <m:t>i</m:t>
        </m:r>
        <m:r>
          <m:t>d</m:t>
        </m:r>
        <m:r>
          <m:t>e</m:t>
        </m:r>
        <m:r>
          <m:t>a</m:t>
        </m:r>
        <m:r>
          <m:t>n</m:t>
        </m:r>
        <m:r>
          <m:t>a</m:t>
        </m:r>
        <m:r>
          <m:t>l</m:t>
        </m:r>
        <m:r>
          <m:t>y</m:t>
        </m:r>
        <m:r>
          <m:t>s</m:t>
        </m:r>
        <m:r>
          <m:t>t</m:t>
        </m:r>
        <m:r>
          <m:t>r</m:t>
        </m:r>
        <m:r>
          <m:t>a</m:t>
        </m:r>
        <m:r>
          <m:t>n</m:t>
        </m:r>
        <m:r>
          <m:t>g</m:t>
        </m:r>
        <m:r>
          <m:t>e</m:t>
        </m:r>
        <m:r>
          <m:rPr>
            <m:sty m:val="p"/>
          </m:rPr>
          <m:t>(</m:t>
        </m:r>
      </m:oMath>
      <w:r>
        <w:t xml:space="preserve">2.59 to $3.60) reflects the fact that nobody agrees on how to model the Anthropic gain.</w:t>
      </w:r>
      <w:r>
        <w:t xml:space="preserve"> </w:t>
      </w:r>
      <w:r>
        <w:rPr>
          <w:b/>
          <w:bCs/>
        </w:rPr>
        <w:t xml:space="preserve">Focus on revenue, operating income, and operating margin — not headline EPS.</w:t>
      </w:r>
    </w:p>
    <w:p>
      <w:r>
        <w:pict>
          <v:rect style="width:0;height:1.5pt" o:hralign="center" o:hrstd="t" o:hr="t"/>
        </w:pict>
      </w:r>
    </w:p>
    <w:bookmarkEnd w:id="11"/>
    <w:bookmarkStart w:id="12" w:name="segment-expectations--how-to-read-them"/>
    <w:p>
      <w:pPr>
        <w:pStyle w:val="Heading2"/>
      </w:pPr>
      <w:r>
        <w:t xml:space="preserve">Segment expectations &amp; how to read them</w:t>
      </w:r>
    </w:p>
    <w:p>
      <w:pPr>
        <w:pStyle w:val="FirstParagraph"/>
      </w:pPr>
      <w:r>
        <w:rPr>
          <w:b/>
          <w:bCs/>
        </w:rPr>
        <w:t xml:space="preserve">Google Search &amp; other</w:t>
      </w:r>
      <w:r>
        <w:t xml:space="preserve"> </w:t>
      </w:r>
      <w:r>
        <w:t xml:space="preserve">— The most-watched line for the bull case. It grew</w:t>
      </w:r>
      <w:r>
        <w:t xml:space="preserve"> </w:t>
      </w:r>
      <w:r>
        <w:rPr>
          <w:b/>
          <w:bCs/>
        </w:rPr>
        <w:t xml:space="preserve">19% to $60.4B in Q1 2026</w:t>
      </w:r>
      <w:r>
        <w:t xml:space="preserve"> </w:t>
      </w:r>
      <w:r>
        <w:t xml:space="preserve">(accelerating from ~12% a year ago), and management has been aggressive that AI Overviews and AI Mode are</w:t>
      </w:r>
      <w:r>
        <w:t xml:space="preserve"> </w:t>
      </w:r>
      <w:r>
        <w:rPr>
          <w:i/>
          <w:iCs/>
        </w:rPr>
        <w:t xml:space="preserve">expanding</w:t>
      </w:r>
      <w:r>
        <w:t xml:space="preserve"> </w:t>
      </w:r>
      <w:r>
        <w:t xml:space="preserve">query volume rather than cannibalizing it, with queries "at an all-time high." Third-party data supports this — Google's global web visits reportedly rose ~4% YoY in June even as rival chatbots exploded. Watch for the vertical mix (retail and finance have been the drivers) and any color on ad coverage moving above the historical ~20% of queries as Gemini better monetizes long-tail/complex searches.</w:t>
      </w:r>
    </w:p>
    <w:p>
      <w:pPr>
        <w:pStyle w:val="BodyText"/>
      </w:pPr>
      <w:r>
        <w:rPr>
          <w:b/>
          <w:bCs/>
        </w:rPr>
        <w:t xml:space="preserve">Google Cloud</w:t>
      </w:r>
      <w:r>
        <w:t xml:space="preserve"> </w:t>
      </w:r>
      <w:r>
        <w:t xml:space="preserve">— The growth engine and margin story. Q1 was a blowout: revenue</w:t>
      </w:r>
      <w:r>
        <w:t xml:space="preserve"> </w:t>
      </w:r>
      <w:r>
        <w:rPr>
          <w:b/>
          <w:bCs/>
        </w:rPr>
        <w:t xml:space="preserve">+63% to $20B</w:t>
      </w:r>
      <w:r>
        <w:t xml:space="preserve">, operating margin up to</w:t>
      </w:r>
      <w:r>
        <w:t xml:space="preserve"> </w:t>
      </w:r>
      <w:r>
        <w:rPr>
          <w:b/>
          <w:bCs/>
        </w:rPr>
        <w:t xml:space="preserve">32.9%</w:t>
      </w:r>
      <w:r>
        <w:t xml:space="preserve"> </w:t>
      </w:r>
      <w:r>
        <w:t xml:space="preserve">(from 17.8% a year ago), and</w:t>
      </w:r>
      <w:r>
        <w:t xml:space="preserve"> </w:t>
      </w:r>
      <w:r>
        <w:rPr>
          <w:b/>
          <w:bCs/>
        </w:rPr>
        <w:t xml:space="preserve">backlog nearly doubling sequentially to $462B</w:t>
      </w:r>
      <w:r>
        <w:t xml:space="preserve">. Two things to watch:</w:t>
      </w:r>
    </w:p>
    <w:p>
      <w:pPr>
        <w:pStyle w:val="Compact"/>
        <w:numPr>
          <w:ilvl w:val="0"/>
          <w:numId w:val="1001"/>
        </w:numPr>
      </w:pPr>
      <w:r>
        <w:rPr>
          <w:b/>
          <w:bCs/>
        </w:rPr>
        <w:t xml:space="preserve">Is it still capacity-constrained?</w:t>
      </w:r>
      <w:r>
        <w:t xml:space="preserve"> </w:t>
      </w:r>
      <w:r>
        <w:t xml:space="preserve">Management repeatedly said cloud revenue "would have been higher if we were able to meet demand." That's bullish for the backlog but means the growth rate is gated by how fast capacity comes online (lumpy quarter-to-quarter).</w:t>
      </w:r>
    </w:p>
    <w:p>
      <w:pPr>
        <w:pStyle w:val="Compact"/>
        <w:numPr>
          <w:ilvl w:val="0"/>
          <w:numId w:val="1001"/>
        </w:numPr>
      </w:pPr>
      <w:r>
        <w:rPr>
          <w:b/>
          <w:bCs/>
        </w:rPr>
        <w:t xml:space="preserve">Wiz dilution:</w:t>
      </w:r>
      <w:r>
        <w:t xml:space="preserve"> </w:t>
      </w:r>
      <w:r>
        <w:t xml:space="preserve">Management flagged a</w:t>
      </w:r>
      <w:r>
        <w:t xml:space="preserve"> </w:t>
      </w:r>
      <w:r>
        <w:rPr>
          <w:b/>
          <w:bCs/>
        </w:rPr>
        <w:t xml:space="preserve">low-single-digit-point headwind to Cloud operating margin</w:t>
      </w:r>
      <w:r>
        <w:t xml:space="preserve"> </w:t>
      </w:r>
      <w:r>
        <w:t xml:space="preserve">for the rest of 2026 from the Wiz acquisition. Don't panic if Cloud margin ticks down sequentially.</w:t>
      </w:r>
    </w:p>
    <w:p>
      <w:pPr>
        <w:pStyle w:val="FirstParagraph"/>
      </w:pPr>
      <w:r>
        <w:rPr>
          <w:b/>
          <w:bCs/>
        </w:rPr>
        <w:t xml:space="preserve">YouTube ads</w:t>
      </w:r>
      <w:r>
        <w:t xml:space="preserve"> </w:t>
      </w:r>
      <w:r>
        <w:t xml:space="preserve">— Grew 11% in Q1; watch the direct-response vs. brand mix and Shorts/CTV monetization. Note the year-ago comps are</w:t>
      </w:r>
      <w:r>
        <w:t xml:space="preserve"> </w:t>
      </w:r>
      <w:r>
        <w:rPr>
          <w:i/>
          <w:iCs/>
        </w:rPr>
        <w:t xml:space="preserve">easier</w:t>
      </w:r>
      <w:r>
        <w:t xml:space="preserve"> </w:t>
      </w:r>
      <w:r>
        <w:t xml:space="preserve">in H2 (2024 had heavy US election spend that inflated the base).</w:t>
      </w:r>
    </w:p>
    <w:p>
      <w:pPr>
        <w:pStyle w:val="BodyText"/>
      </w:pPr>
      <w:r>
        <w:rPr>
          <w:b/>
          <w:bCs/>
        </w:rPr>
        <w:t xml:space="preserve">Subscriptions, Platforms &amp; Devices</w:t>
      </w:r>
      <w:r>
        <w:t xml:space="preserve"> </w:t>
      </w:r>
      <w:r>
        <w:t xml:space="preserve">— Reached</w:t>
      </w:r>
      <w:r>
        <w:t xml:space="preserve"> </w:t>
      </w:r>
      <w:r>
        <w:rPr>
          <w:b/>
          <w:bCs/>
        </w:rPr>
        <w:t xml:space="preserve">350M paid subscriptions</w:t>
      </w:r>
      <w:r>
        <w:t xml:space="preserve">; AI plans (Gemini app, Google One) have been the fastest-growing driver.</w:t>
      </w:r>
    </w:p>
    <w:p>
      <w:r>
        <w:pict>
          <v:rect style="width:0;height:1.5pt" o:hralign="center" o:hrstd="t" o:hr="t"/>
        </w:pict>
      </w:r>
    </w:p>
    <w:bookmarkEnd w:id="12"/>
    <w:bookmarkStart w:id="15" w:name="X5ca5a33131dca00bc7cb88be73d5e13f1d69c3d"/>
    <w:p>
      <w:pPr>
        <w:pStyle w:val="Heading2"/>
      </w:pPr>
      <w:r>
        <w:t xml:space="preserve">The two things that will actually move the stock</w:t>
      </w:r>
    </w:p>
    <w:bookmarkStart w:id="13" w:name="Xa8ede935a3c46b303389db90c5c7251c0ede200"/>
    <w:p>
      <w:pPr>
        <w:pStyle w:val="Heading3"/>
      </w:pPr>
      <w:r>
        <w:t xml:space="preserve">1. Capex — the number everyone is watching</w:t>
      </w:r>
    </w:p>
    <w:p>
      <w:pPr>
        <w:pStyle w:val="FirstParagraph"/>
      </w:pPr>
      <w:r>
        <w:t xml:space="preserve">Management already</w:t>
      </w:r>
      <w:r>
        <w:t xml:space="preserve"> </w:t>
      </w:r>
      <w:r>
        <w:rPr>
          <w:b/>
          <w:bCs/>
        </w:rPr>
        <w:t xml:space="preserve">raised FY2026 capex guidance to $180–190B</w:t>
      </w:r>
      <w:r>
        <w:t xml:space="preserve"> </w:t>
      </w:r>
      <w:r>
        <w:t xml:space="preserve">(from</w:t>
      </w:r>
      <w:r>
        <w:t xml:space="preserve"> </w:t>
      </w:r>
      <w:r>
        <w:t xml:space="preserve">$175–185B) and explicitly said **2027 capex will "significantly increase."** Q1 capex alone was **$</w:t>
      </w:r>
      <w:r>
        <w:t xml:space="preserve">35.7B**. The market's tolerance for spending is high</w:t>
      </w:r>
      <w:r>
        <w:t xml:space="preserve"> </w:t>
      </w:r>
      <w:r>
        <w:rPr>
          <w:i/>
          <w:iCs/>
        </w:rPr>
        <w:t xml:space="preserve">as long as</w:t>
      </w:r>
      <w:r>
        <w:t xml:space="preserve"> </w:t>
      </w:r>
      <w:r>
        <w:t xml:space="preserve">Cloud backlog and revenue keep validating it — but any hint of a further raise without a commensurate demand signal risks "an ugly reaction," as one sell-side note put it. The bullish counter-narrative: reporting that Google is developing a next-gen in-house AI chip ("Frozen"/"Frozen v2") that could be 6–10x more power-efficient lifted the stock ~3% just before the print, because efficiency gains improve capex ROIC. Listen for any commentary tying capex to unit economics (Google noted it has already</w:t>
      </w:r>
      <w:r>
        <w:t xml:space="preserve"> </w:t>
      </w:r>
      <w:r>
        <w:rPr>
          <w:b/>
          <w:bCs/>
        </w:rPr>
        <w:t xml:space="preserve">cut the cost of core AI responses by &gt;30%</w:t>
      </w:r>
      <w:r>
        <w:t xml:space="preserve"> </w:t>
      </w:r>
      <w:r>
        <w:t xml:space="preserve">since moving AI Overviews/Mode to Gemini 3).</w:t>
      </w:r>
    </w:p>
    <w:bookmarkEnd w:id="13"/>
    <w:bookmarkStart w:id="14" w:name="X02dfbd6c42fa37702143d84e30e0803f50647b3"/>
    <w:p>
      <w:pPr>
        <w:pStyle w:val="Heading3"/>
      </w:pPr>
      <w:r>
        <w:t xml:space="preserve">2. The Gemini 3.5 Pro delay &amp; the frontier-model race</w:t>
      </w:r>
    </w:p>
    <w:p>
      <w:pPr>
        <w:pStyle w:val="FirstParagraph"/>
      </w:pPr>
      <w:r>
        <w:t xml:space="preserve">This is the fresh overhang. Bloomberg reported Gemini 3.5 Pro is</w:t>
      </w:r>
      <w:r>
        <w:t xml:space="preserve"> </w:t>
      </w:r>
      <w:r>
        <w:rPr>
          <w:b/>
          <w:bCs/>
        </w:rPr>
        <w:t xml:space="preserve">months behind schedule after underperforming internal tests, particularly on coding</w:t>
      </w:r>
      <w:r>
        <w:t xml:space="preserve">, raising fears Google is falling behind Anthropic and OpenAI. GOOGL fell &gt;4% on that report (July 16) and another ~2.3% the next day. On July 21, Google shipped</w:t>
      </w:r>
      <w:r>
        <w:t xml:space="preserve"> </w:t>
      </w:r>
      <w:r>
        <w:rPr>
          <w:b/>
          <w:bCs/>
        </w:rPr>
        <w:t xml:space="preserve">cheaper/faster models (Gemini 3.6 Flash, 3.5 Flash-Lite, 3.5 Flash Cyber)</w:t>
      </w:r>
      <w:r>
        <w:t xml:space="preserve"> </w:t>
      </w:r>
      <w:r>
        <w:t xml:space="preserve">— but</w:t>
      </w:r>
      <w:r>
        <w:t xml:space="preserve"> </w:t>
      </w:r>
      <w:r>
        <w:rPr>
          <w:i/>
          <w:iCs/>
        </w:rPr>
        <w:t xml:space="preserve">not</w:t>
      </w:r>
      <w:r>
        <w:t xml:space="preserve"> </w:t>
      </w:r>
      <w:r>
        <w:t xml:space="preserve">the flagship Pro update, which reinforced the delay narrative. Adding pressure, China's Moonshot AI claimed its Kimi K3 model topped Google's models on an independent intelligence ranking.</w:t>
      </w:r>
      <w:r>
        <w:t xml:space="preserve"> </w:t>
      </w:r>
      <w:r>
        <w:rPr>
          <w:b/>
          <w:bCs/>
        </w:rPr>
        <w:t xml:space="preserve">Expect analysts to press management on the Gemini 3.5 Pro timeline and coding performance on the call</w:t>
      </w:r>
      <w:r>
        <w:t xml:space="preserve"> </w:t>
      </w:r>
      <w:r>
        <w:t xml:space="preserve">— the answer here may matter more to the stock than the actual Q2 numbers.</w:t>
      </w:r>
    </w:p>
    <w:p>
      <w:r>
        <w:pict>
          <v:rect style="width:0;height:1.5pt" o:hralign="center" o:hrstd="t" o:hr="t"/>
        </w:pict>
      </w:r>
    </w:p>
    <w:bookmarkEnd w:id="14"/>
    <w:bookmarkEnd w:id="15"/>
    <w:bookmarkStart w:id="16" w:name="other-things-on-the-radar"/>
    <w:p>
      <w:pPr>
        <w:pStyle w:val="Heading2"/>
      </w:pPr>
      <w:r>
        <w:t xml:space="preserve">Other things on the radar</w:t>
      </w:r>
    </w:p>
    <w:p>
      <w:pPr>
        <w:pStyle w:val="Compact"/>
        <w:numPr>
          <w:ilvl w:val="0"/>
          <w:numId w:val="1002"/>
        </w:numPr>
      </w:pPr>
      <w:r>
        <w:rPr>
          <w:b/>
          <w:bCs/>
        </w:rPr>
        <w:t xml:space="preserve">Regulation/legal:</w:t>
      </w:r>
      <w:r>
        <w:t xml:space="preserve"> </w:t>
      </w:r>
      <w:r>
        <w:t xml:space="preserve">The EU ordered Google to open Android to rival AI assistants and share search data, with fines looming; a German regulator ruled AI Overviews are subject to media law; and major publishers filed a new copyright suit over Gemini training. These are slow-burn risks, not Q2 catalysts, but management may be asked about the Android ruling's product/security implications.</w:t>
      </w:r>
    </w:p>
    <w:p>
      <w:pPr>
        <w:pStyle w:val="Compact"/>
        <w:numPr>
          <w:ilvl w:val="0"/>
          <w:numId w:val="1002"/>
        </w:numPr>
      </w:pPr>
      <w:r>
        <w:rPr>
          <w:b/>
          <w:bCs/>
        </w:rPr>
        <w:t xml:space="preserve">Waymo:</w:t>
      </w:r>
      <w:r>
        <w:t xml:space="preserve"> </w:t>
      </w:r>
      <w:r>
        <w:t xml:space="preserve">Continued expansion (now 11+ cities, 500K+ weekly rides, four more cities announced) — a real but still small "Other Bets" story (Other Bets ran a ~$2.1B operating loss in Q1).</w:t>
      </w:r>
    </w:p>
    <w:p>
      <w:pPr>
        <w:pStyle w:val="Compact"/>
        <w:numPr>
          <w:ilvl w:val="0"/>
          <w:numId w:val="1002"/>
        </w:numPr>
      </w:pPr>
      <w:r>
        <w:rPr>
          <w:b/>
          <w:bCs/>
        </w:rPr>
        <w:t xml:space="preserve">FX:</w:t>
      </w:r>
      <w:r>
        <w:t xml:space="preserve"> </w:t>
      </w:r>
      <w:r>
        <w:t xml:space="preserve">Management guided Q2 FX to only a</w:t>
      </w:r>
      <w:r>
        <w:t xml:space="preserve"> </w:t>
      </w:r>
      <w:r>
        <w:rPr>
          <w:b/>
          <w:bCs/>
        </w:rPr>
        <w:t xml:space="preserve">~1pt tailwind</w:t>
      </w:r>
      <w:r>
        <w:t xml:space="preserve"> </w:t>
      </w:r>
      <w:r>
        <w:t xml:space="preserve">vs. a ~3pt tailwind in Q1 — so constant-currency growth will look closer to reported than last quarter.</w:t>
      </w:r>
    </w:p>
    <w:p>
      <w:pPr>
        <w:pStyle w:val="Compact"/>
        <w:numPr>
          <w:ilvl w:val="0"/>
          <w:numId w:val="1002"/>
        </w:numPr>
      </w:pPr>
      <w:r>
        <w:rPr>
          <w:b/>
          <w:bCs/>
        </w:rPr>
        <w:t xml:space="preserve">Insider selling:</w:t>
      </w:r>
      <w:r>
        <w:t xml:space="preserve"> </w:t>
      </w:r>
      <w:r>
        <w:t xml:space="preserve">Larry Page-related trusts filed to sell ~$91M in shares in early July (routine, but worth noting).</w:t>
      </w:r>
    </w:p>
    <w:p>
      <w:r>
        <w:pict>
          <v:rect style="width:0;height:1.5pt" o:hralign="center" o:hrstd="t" o:hr="t"/>
        </w:pict>
      </w:r>
    </w:p>
    <w:bookmarkEnd w:id="16"/>
    <w:bookmarkStart w:id="17" w:name="stock-setup--positioning"/>
    <w:p>
      <w:pPr>
        <w:pStyle w:val="Heading2"/>
      </w:pPr>
      <w:r>
        <w:t xml:space="preserve">Stock setup &amp; positioning</w:t>
      </w:r>
    </w:p>
    <w:p>
      <w:pPr>
        <w:pStyle w:val="Compact"/>
        <w:numPr>
          <w:ilvl w:val="0"/>
          <w:numId w:val="1003"/>
        </w:numPr>
      </w:pPr>
      <w:r>
        <w:t xml:space="preserve">GOOGL started 2026 around</w:t>
      </w:r>
      <w:r>
        <w:t xml:space="preserve"> </w:t>
      </w:r>
      <m:oMath>
        <m:r>
          <m:t>315</m:t>
        </m:r>
        <m:r>
          <m:rPr>
            <m:sty m:val="p"/>
          </m:rPr>
          <m:t>*</m:t>
        </m:r>
        <m:r>
          <m:rPr>
            <m:sty m:val="p"/>
          </m:rPr>
          <m:t>*</m:t>
        </m:r>
        <m:r>
          <m:rPr>
            <m:sty m:val="p"/>
          </m:rPr>
          <m:t>,</m:t>
        </m:r>
        <m:r>
          <m:t>r</m:t>
        </m:r>
        <m:r>
          <m:t>a</m:t>
        </m:r>
        <m:r>
          <m:t>n</m:t>
        </m:r>
        <m:r>
          <m:t>t</m:t>
        </m:r>
        <m:r>
          <m:t>o</m:t>
        </m:r>
        <m:r>
          <m:t>a</m:t>
        </m:r>
        <m:r>
          <m:t>p</m:t>
        </m:r>
        <m:r>
          <m:t>e</m:t>
        </m:r>
        <m:r>
          <m:t>a</m:t>
        </m:r>
        <m:r>
          <m:t>k</m:t>
        </m:r>
        <m:r>
          <m:t>n</m:t>
        </m:r>
        <m:r>
          <m:t>e</m:t>
        </m:r>
        <m:r>
          <m:t>a</m:t>
        </m:r>
        <m:r>
          <m:t>r</m:t>
        </m:r>
        <m:r>
          <m:rPr>
            <m:sty m:val="p"/>
          </m:rPr>
          <m:t>*</m:t>
        </m:r>
        <m:r>
          <m:rPr>
            <m:sty m:val="p"/>
          </m:rPr>
          <m:t>*</m:t>
        </m:r>
      </m:oMath>
      <w:r>
        <w:rPr>
          <w:b/>
          <w:bCs/>
        </w:rPr>
        <w:t xml:space="preserve">400 in early May</w:t>
      </w:r>
      <w:r>
        <w:t xml:space="preserve"> </w:t>
      </w:r>
      <w:r>
        <w:t xml:space="preserve">(post-Q1 earnings pop from ~</w:t>
      </w:r>
      <m:oMath>
        <m:r>
          <m:t>350</m:t>
        </m:r>
        <m:r>
          <m:t>t</m:t>
        </m:r>
        <m:r>
          <m:t>o</m:t>
        </m:r>
        <m:r>
          <m:t> </m:t>
        </m:r>
      </m:oMath>
      <w:r>
        <w:t xml:space="preserve">385 the day after the April 29 report), then drifted lower through June/July.</w:t>
      </w:r>
    </w:p>
    <w:p>
      <w:pPr>
        <w:pStyle w:val="Compact"/>
        <w:numPr>
          <w:ilvl w:val="0"/>
          <w:numId w:val="1003"/>
        </w:numPr>
      </w:pPr>
      <w:r>
        <w:t xml:space="preserve">As of July 21 it sits around</w:t>
      </w:r>
      <w:r>
        <w:t xml:space="preserve"> </w:t>
      </w:r>
      <w:r>
        <w:rPr>
          <w:b/>
          <w:bCs/>
        </w:rPr>
        <w:t xml:space="preserve">$347</w:t>
      </w:r>
      <w:r>
        <w:t xml:space="preserve"> </w:t>
      </w:r>
      <w:r>
        <w:t xml:space="preserve">— up modestly YTD but</w:t>
      </w:r>
      <w:r>
        <w:t xml:space="preserve"> </w:t>
      </w:r>
      <w:r>
        <w:rPr>
          <w:b/>
          <w:bCs/>
        </w:rPr>
        <w:t xml:space="preserve">down ~13% from the May high</w:t>
      </w:r>
      <w:r>
        <w:t xml:space="preserve">, having sold off on the Gemini delay news before recovering some ground on the "Frozen" chip report.</w:t>
      </w:r>
    </w:p>
    <w:p>
      <w:pPr>
        <w:pStyle w:val="Compact"/>
        <w:numPr>
          <w:ilvl w:val="0"/>
          <w:numId w:val="1003"/>
        </w:numPr>
      </w:pPr>
      <w:r>
        <w:t xml:space="preserve">Sentiment is described as "mostly sanguine" — investors still view Google as an AI leader via Gemini + TPUs with a robust core Search business, but there's genuine nervousness about the frontier-model pecking order and heavy spend.</w:t>
      </w:r>
    </w:p>
    <w:p>
      <w:pPr>
        <w:pStyle w:val="Compact"/>
        <w:numPr>
          <w:ilvl w:val="0"/>
          <w:numId w:val="1003"/>
        </w:numPr>
      </w:pPr>
      <w:r>
        <w:t xml:space="preserve">Bulls point to targets like BofA's $430 (Buy), citing an "expansionary moment" for Search.</w:t>
      </w:r>
    </w:p>
    <w:p>
      <w:r>
        <w:pict>
          <v:rect style="width:0;height:1.5pt" o:hralign="center" o:hrstd="t" o:hr="t"/>
        </w:pict>
      </w:r>
    </w:p>
    <w:bookmarkEnd w:id="17"/>
    <w:bookmarkStart w:id="18" w:name="bottom-line--what-to-watch-in-order"/>
    <w:p>
      <w:pPr>
        <w:pStyle w:val="Heading2"/>
      </w:pPr>
      <w:r>
        <w:t xml:space="preserve">Bottom line — what to watch, in order</w:t>
      </w:r>
    </w:p>
    <w:p>
      <w:pPr>
        <w:pStyle w:val="Compact"/>
        <w:numPr>
          <w:ilvl w:val="0"/>
          <w:numId w:val="1004"/>
        </w:numPr>
      </w:pPr>
      <w:r>
        <w:rPr>
          <w:b/>
          <w:bCs/>
        </w:rPr>
        <w:t xml:space="preserve">Cloud revenue growth + backlog</w:t>
      </w:r>
      <w:r>
        <w:t xml:space="preserve"> </w:t>
      </w:r>
      <w:r>
        <w:t xml:space="preserve">— does the ~60% growth and capacity-constrained demand story hold? This is the core AI-monetization proof point.</w:t>
      </w:r>
    </w:p>
    <w:p>
      <w:pPr>
        <w:pStyle w:val="Compact"/>
        <w:numPr>
          <w:ilvl w:val="0"/>
          <w:numId w:val="1004"/>
        </w:numPr>
      </w:pPr>
      <w:r>
        <w:rPr>
          <w:b/>
          <w:bCs/>
        </w:rPr>
        <w:t xml:space="preserve">Any capex guidance change</w:t>
      </w:r>
      <w:r>
        <w:t xml:space="preserve"> </w:t>
      </w:r>
      <w:r>
        <w:t xml:space="preserve">— a raise is tolerable</w:t>
      </w:r>
      <w:r>
        <w:t xml:space="preserve"> </w:t>
      </w:r>
      <w:r>
        <w:rPr>
          <w:i/>
          <w:iCs/>
        </w:rPr>
        <w:t xml:space="preserve">only</w:t>
      </w:r>
      <w:r>
        <w:t xml:space="preserve"> </w:t>
      </w:r>
      <w:r>
        <w:t xml:space="preserve">if backlog justifies it; watch the 2027 framing.</w:t>
      </w:r>
    </w:p>
    <w:p>
      <w:pPr>
        <w:pStyle w:val="Compact"/>
        <w:numPr>
          <w:ilvl w:val="0"/>
          <w:numId w:val="1004"/>
        </w:numPr>
      </w:pPr>
      <w:r>
        <w:rPr>
          <w:b/>
          <w:bCs/>
        </w:rPr>
        <w:t xml:space="preserve">Search growth rate</w:t>
      </w:r>
      <w:r>
        <w:t xml:space="preserve"> </w:t>
      </w:r>
      <w:r>
        <w:t xml:space="preserve">— needs to stay high-teens to keep the "AI is expanding, not cannibalizing, Search" thesis alive.</w:t>
      </w:r>
    </w:p>
    <w:p>
      <w:pPr>
        <w:pStyle w:val="Compact"/>
        <w:numPr>
          <w:ilvl w:val="0"/>
          <w:numId w:val="1004"/>
        </w:numPr>
      </w:pPr>
      <w:r>
        <w:rPr>
          <w:b/>
          <w:bCs/>
        </w:rPr>
        <w:t xml:space="preserve">Management's Gemini 3.5 Pro commentary</w:t>
      </w:r>
      <w:r>
        <w:t xml:space="preserve"> </w:t>
      </w:r>
      <w:r>
        <w:t xml:space="preserve">— the answer to "are you still at the frontier?" could set the tone regardless of the numbers.</w:t>
      </w:r>
    </w:p>
    <w:p>
      <w:pPr>
        <w:pStyle w:val="Compact"/>
        <w:numPr>
          <w:ilvl w:val="0"/>
          <w:numId w:val="1004"/>
        </w:numPr>
      </w:pPr>
      <w:r>
        <w:rPr>
          <w:b/>
          <w:bCs/>
        </w:rPr>
        <w:t xml:space="preserve">Operating margin</w:t>
      </w:r>
      <w:r>
        <w:t xml:space="preserve"> </w:t>
      </w:r>
      <w:r>
        <w:t xml:space="preserve">(not GAAP EPS) — the clean read on profitability, since EPS will be distorted by the Anthropic markup and depreciation from surging capex.</w:t>
      </w:r>
    </w:p>
    <w:p>
      <w:pPr>
        <w:pStyle w:val="FirstParagraph"/>
      </w:pPr>
      <w:r>
        <w:rPr>
          <w:b/>
          <w:bCs/>
        </w:rPr>
        <w:t xml:space="preserve">Framing it simply:</w:t>
      </w:r>
      <w:r>
        <w:t xml:space="preserve"> </w:t>
      </w:r>
      <w:r>
        <w:t xml:space="preserve">A "good" print is one where Cloud stays hot, Search stays high-teens, margins hold,</w:t>
      </w:r>
      <w:r>
        <w:t xml:space="preserve"> </w:t>
      </w:r>
      <w:r>
        <w:rPr>
          <w:i/>
          <w:iCs/>
        </w:rPr>
        <w:t xml:space="preserve">and</w:t>
      </w:r>
      <w:r>
        <w:t xml:space="preserve"> </w:t>
      </w:r>
      <w:r>
        <w:t xml:space="preserve">management sounds confident on the model roadmap. A "bad" print is one where capex goes up again while Gemini 3.5 Pro slips further and Cloud growth shows any capacity-driven deceleration — that combination of "spending more, shipping late" is exactly what the market has told you it will punish.</w:t>
      </w:r>
    </w:p>
    <w:p>
      <w:pPr>
        <w:pStyle w:val="BodyText"/>
      </w:pPr>
      <w:r>
        <w:rPr>
          <w:i/>
          <w:iCs/>
        </w:rPr>
        <w:t xml:space="preserve">Note: A couple of secondary sources listed a July 28 date; the earnings calendar you've provided and the majority of coverage point to</w:t>
      </w:r>
      <w:r>
        <w:rPr>
          <w:i/>
          <w:iCs/>
        </w:rPr>
        <w:t xml:space="preserve"> </w:t>
      </w:r>
      <w:r>
        <w:rPr>
          <w:b/>
          <w:bCs/>
          <w:i/>
          <w:iCs/>
        </w:rPr>
        <w:t xml:space="preserve">Wednesday, July 22, after the close</w:t>
      </w:r>
      <w:r>
        <w:rPr>
          <w:i/>
          <w:iCs/>
        </w:rPr>
        <w:t xml:space="preserve">.</w:t>
      </w:r>
    </w:p>
    <w:bookmarkEnd w:id="18"/>
    <w:bookmarkEnd w:id="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2026-07-22T00:42:33Z</dcterms:created>
  <dcterms:modified xsi:type="dcterms:W3CDTF">2026-07-22T00:42:33Z</dcterms:modified>
</cp:coreProperties>
</file>

<file path=docProps/custom.xml><?xml version="1.0" encoding="utf-8"?>
<Properties xmlns="http://schemas.openxmlformats.org/officeDocument/2006/custom-properties" xmlns:vt="http://schemas.openxmlformats.org/officeDocument/2006/docPropsVTypes"/>
</file>