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oogl-earnings-predictions--2026-07-22"/>
    <w:p>
      <w:pPr>
        <w:pStyle w:val="Heading1"/>
      </w:pPr>
      <w:r>
        <w:t xml:space="preserve">GOOGL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Google Cloud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21.8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 </m:t>
              </m:r>
              <m:r>
                <m:t>60</m:t>
              </m:r>
            </m:oMath>
            <w:r>
              <w:t xml:space="preserve">21.3B (~57% y/y)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Search &amp; Other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61.5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 </m:t>
              </m:r>
              <m:r>
                <m:t>13.5</m:t>
              </m:r>
            </m:oMath>
            <w:r>
              <w:t xml:space="preserve">60.9B (~12.4% y/y)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3.05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2.90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200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190B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Capex Outlook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~25-30% y/y increase vs. cons ~15-20% y/y increase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Cloud Growth Trajectory / Backlog Conversion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~mid-50s% cloud growth vs. cons ~50% growth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Even with likely beats on Cloud/Search/EPS, another capex guidance raise plus reiteration of a 'significantly higher' 2027 spend forces analysts to cut out-year FCF and margin estimates; the asymmetric reaction function (capex dominates over growth beats) plus unresolved Gemini 3.5 Pro delay/competitive overhang means initial relief on numbers fades as revision cycle catches down FCF/EPS estimates over the following days, consistent with the stock's pattern of selling off on AI-capex headlines in the two weeks pre-print.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2026-07-22T00:41:53Z</dcterms:created>
  <dcterms:modified xsi:type="dcterms:W3CDTF">2026-07-22T00:41:53Z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