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1" w:name="alphabet-googl-q2-2026-earnings-preview"/>
    <w:p>
      <w:pPr>
        <w:pStyle w:val="Heading1"/>
      </w:pPr>
      <w:r>
        <w:t xml:space="preserve">Alphabet (GOOGL) Q2 2026 Earnings Preview</w:t>
      </w:r>
    </w:p>
    <w:p>
      <w:pPr>
        <w:pStyle w:val="BlockText"/>
      </w:pPr>
      <w:r>
        <w:rPr>
          <w:b/>
          <w:bCs/>
        </w:rPr>
        <w:t xml:space="preserve">Timing note:</w:t>
      </w:r>
      <w:r>
        <w:t xml:space="preserve"> </w:t>
      </w:r>
      <w:r>
        <w:t xml:space="preserve">Alphabet reports</w:t>
      </w:r>
      <w:r>
        <w:t xml:space="preserve"> </w:t>
      </w:r>
      <w:r>
        <w:rPr>
          <w:b/>
          <w:bCs/>
        </w:rPr>
        <w:t xml:space="preserve">today, Wednesday, July 22, 2026</w:t>
      </w:r>
      <w:r>
        <w:t xml:space="preserve">, after the U.S. market closes—not tomorrow. The conference call begins at</w:t>
      </w:r>
      <w:r>
        <w:t xml:space="preserve"> </w:t>
      </w:r>
      <w:r>
        <w:rPr>
          <w:b/>
          <w:bCs/>
        </w:rPr>
        <w:t xml:space="preserve">4:30 p.m. Eastern / 1:30 p.m. Pacific</w:t>
      </w:r>
      <w:r>
        <w:t xml:space="preserve">. (</w:t>
      </w:r>
      <w:hyperlink r:id="rId9">
        <w:r>
          <w:rPr>
            <w:rStyle w:val="Hyperlink"/>
          </w:rPr>
          <w:t xml:space="preserve">alphabet2025ir.q4web.com</w:t>
        </w:r>
      </w:hyperlink>
      <w:r>
        <w:t xml:space="preserve">)</w:t>
      </w:r>
    </w:p>
    <w:bookmarkStart w:id="10" w:name="executive-view"/>
    <w:p>
      <w:pPr>
        <w:pStyle w:val="Heading2"/>
      </w:pPr>
      <w:r>
        <w:t xml:space="preserve">Executive view</w:t>
      </w:r>
    </w:p>
    <w:p>
      <w:pPr>
        <w:pStyle w:val="FirstParagraph"/>
      </w:pPr>
      <w:r>
        <w:t xml:space="preserve">Alphabet enters the quarter with unusually strong operating momentum—and an unusually demanding investment burden.</w:t>
      </w:r>
    </w:p>
    <w:p>
      <w:pPr>
        <w:pStyle w:val="BodyText"/>
      </w:pPr>
      <w:r>
        <w:t xml:space="preserve">The central question is no longer simply whether AI is hurting Google Search. Q1 provided strong evidence that AI features can increase search usage while supporting monetization. The debate has shifted to whether Alphabet can convert that engagement into durable revenue</w:t>
      </w:r>
      <w:r>
        <w:t xml:space="preserve"> </w:t>
      </w:r>
      <w:r>
        <w:rPr>
          <w:b/>
          <w:bCs/>
        </w:rPr>
        <w:t xml:space="preserve">while spending</w:t>
      </w:r>
      <w:r>
        <w:rPr>
          <w:b/>
          <w:bCs/>
        </w:rPr>
        <w:t xml:space="preserve"> </w:t>
      </w:r>
      <m:oMath>
        <m:r>
          <m:t>180</m:t>
        </m:r>
        <m:r>
          <m:rPr>
            <m:sty m:val="p"/>
          </m:rPr>
          <m:t>–</m:t>
        </m:r>
      </m:oMath>
      <w:r>
        <w:rPr>
          <w:b/>
          <w:bCs/>
        </w:rPr>
        <w:t xml:space="preserve">190 billion on capital expenditures this year</w:t>
      </w:r>
      <w:r>
        <w:t xml:space="preserve"> </w:t>
      </w:r>
      <w:r>
        <w:t xml:space="preserve">and maintaining attractive margins.</w:t>
      </w:r>
    </w:p>
    <w:p>
      <w:pPr>
        <w:pStyle w:val="BodyText"/>
      </w:pPr>
      <w:r>
        <w:t xml:space="preserve">For this report, investors should prioritize:</w:t>
      </w:r>
    </w:p>
    <w:p>
      <w:pPr>
        <w:pStyle w:val="Compact"/>
        <w:numPr>
          <w:ilvl w:val="0"/>
          <w:numId w:val="1001"/>
        </w:numPr>
      </w:pPr>
      <w:r>
        <w:rPr>
          <w:b/>
          <w:bCs/>
        </w:rPr>
        <w:t xml:space="preserve">Search growth and AI monetization</w:t>
      </w:r>
    </w:p>
    <w:p>
      <w:pPr>
        <w:pStyle w:val="Compact"/>
        <w:numPr>
          <w:ilvl w:val="0"/>
          <w:numId w:val="1001"/>
        </w:numPr>
      </w:pPr>
      <w:r>
        <w:rPr>
          <w:b/>
          <w:bCs/>
        </w:rPr>
        <w:t xml:space="preserve">Google Cloud growth, backlog conversion, and profitability</w:t>
      </w:r>
    </w:p>
    <w:p>
      <w:pPr>
        <w:pStyle w:val="Compact"/>
        <w:numPr>
          <w:ilvl w:val="0"/>
          <w:numId w:val="1001"/>
        </w:numPr>
      </w:pPr>
      <w:r>
        <w:rPr>
          <w:b/>
          <w:bCs/>
        </w:rPr>
        <w:t xml:space="preserve">Capex and evidence of return on investment</w:t>
      </w:r>
    </w:p>
    <w:p>
      <w:pPr>
        <w:pStyle w:val="Compact"/>
        <w:numPr>
          <w:ilvl w:val="0"/>
          <w:numId w:val="1001"/>
        </w:numPr>
      </w:pPr>
      <w:r>
        <w:rPr>
          <w:b/>
          <w:bCs/>
        </w:rPr>
        <w:t xml:space="preserve">Gemini model execution following reported delays</w:t>
      </w:r>
    </w:p>
    <w:p>
      <w:pPr>
        <w:pStyle w:val="Compact"/>
        <w:numPr>
          <w:ilvl w:val="0"/>
          <w:numId w:val="1001"/>
        </w:numPr>
      </w:pPr>
      <w:r>
        <w:rPr>
          <w:b/>
          <w:bCs/>
        </w:rPr>
        <w:t xml:space="preserve">The quality—not merely the headline amount—of EPS</w:t>
      </w:r>
    </w:p>
    <w:p>
      <w:pPr>
        <w:pStyle w:val="FirstParagraph"/>
      </w:pPr>
      <w:r>
        <w:t xml:space="preserve">A modest headline beat may not be enough. Alphabet probably needs to combine strong Search and Cloud results with a credible explanation of why spending should generate attractive returns.</w:t>
      </w:r>
    </w:p>
    <w:p>
      <w:r>
        <w:pict>
          <v:rect style="width:0;height:1.5pt" o:hralign="center" o:hrstd="t" o:hr="t"/>
        </w:pict>
      </w:r>
    </w:p>
    <w:bookmarkEnd w:id="10"/>
    <w:bookmarkStart w:id="12" w:name="consensus-scorecard"/>
    <w:p>
      <w:pPr>
        <w:pStyle w:val="Heading2"/>
      </w:pPr>
      <w:r>
        <w:t xml:space="preserve">Consensus scorecard</w:t>
      </w:r>
    </w:p>
    <w:p>
      <w:pPr>
        <w:pStyle w:val="FirstParagraph"/>
      </w:pPr>
      <w:r>
        <w:t xml:space="preserve">Estimates vary somewhat by provider, particularly for Google Cloud.</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2025 actual</w:t>
            </w:r>
          </w:p>
        </w:tc>
        <w:tc>
          <w:tcPr/>
          <w:p>
            <w:pPr>
              <w:pStyle w:val="Compact"/>
              <w:jc w:val="right"/>
            </w:pPr>
            <w:r>
              <w:t xml:space="preserve">Q2 2026 consensus</w:t>
            </w:r>
          </w:p>
        </w:tc>
        <w:tc>
          <w:tcPr/>
          <w:p>
            <w:pPr>
              <w:pStyle w:val="Compact"/>
              <w:jc w:val="right"/>
            </w:pPr>
            <w:r>
              <w:t xml:space="preserve">Implied growth</w:t>
            </w:r>
          </w:p>
        </w:tc>
      </w:tr>
      <w:tr>
        <w:tc>
          <w:tcPr/>
          <w:p>
            <w:pPr>
              <w:pStyle w:val="Compact"/>
            </w:pPr>
            <w:r>
              <w:t xml:space="preserve">Revenue</w:t>
            </w:r>
          </w:p>
        </w:tc>
        <w:tc>
          <w:tcPr/>
          <w:p>
            <w:pPr>
              <w:pStyle w:val="Compact"/>
              <w:jc w:val="right"/>
            </w:pPr>
            <w:r>
              <w:t xml:space="preserve">$96.4B</w:t>
            </w:r>
          </w:p>
        </w:tc>
        <w:tc>
          <w:tcPr/>
          <w:p>
            <w:pPr>
              <w:pStyle w:val="Compact"/>
              <w:jc w:val="right"/>
            </w:pPr>
            <m:oMath>
              <m:r>
                <m:t>116.8</m:t>
              </m:r>
              <m:r>
                <m:t>B</m:t>
              </m:r>
              <m:r>
                <m:rPr>
                  <m:sty m:val="p"/>
                </m:rPr>
                <m:t>–</m:t>
              </m:r>
            </m:oMath>
            <w:r>
              <w:rPr>
                <w:b/>
                <w:bCs/>
              </w:rPr>
              <w:t xml:space="preserve">117.0B</w:t>
            </w:r>
          </w:p>
        </w:tc>
        <w:tc>
          <w:tcPr/>
          <w:p>
            <w:pPr>
              <w:pStyle w:val="Compact"/>
              <w:jc w:val="right"/>
            </w:pPr>
            <w:r>
              <w:t xml:space="preserve">~21%</w:t>
            </w:r>
          </w:p>
        </w:tc>
      </w:tr>
      <w:tr>
        <w:tc>
          <w:tcPr/>
          <w:p>
            <w:pPr>
              <w:pStyle w:val="Compact"/>
            </w:pPr>
            <w:r>
              <w:t xml:space="preserve">Diluted EPS</w:t>
            </w:r>
          </w:p>
        </w:tc>
        <w:tc>
          <w:tcPr/>
          <w:p>
            <w:pPr>
              <w:pStyle w:val="Compact"/>
              <w:jc w:val="right"/>
            </w:pPr>
            <w:r>
              <w:t xml:space="preserve">$2.31</w:t>
            </w:r>
          </w:p>
        </w:tc>
        <w:tc>
          <w:tcPr/>
          <w:p>
            <w:pPr>
              <w:pStyle w:val="Compact"/>
              <w:jc w:val="right"/>
            </w:pPr>
            <m:oMath>
              <m:r>
                <m:t>2.88</m:t>
              </m:r>
              <m:r>
                <m:rPr>
                  <m:sty m:val="p"/>
                </m:rPr>
                <m:t>–</m:t>
              </m:r>
            </m:oMath>
            <w:r>
              <w:rPr>
                <w:b/>
                <w:bCs/>
              </w:rPr>
              <w:t xml:space="preserve">2.90</w:t>
            </w:r>
          </w:p>
        </w:tc>
        <w:tc>
          <w:tcPr/>
          <w:p>
            <w:pPr>
              <w:pStyle w:val="Compact"/>
              <w:jc w:val="right"/>
            </w:pPr>
            <w:r>
              <w:t xml:space="preserve">~25%</w:t>
            </w:r>
          </w:p>
        </w:tc>
      </w:tr>
      <w:tr>
        <w:tc>
          <w:tcPr/>
          <w:p>
            <w:pPr>
              <w:pStyle w:val="Compact"/>
            </w:pPr>
            <w:r>
              <w:t xml:space="preserve">Google Services revenue</w:t>
            </w:r>
          </w:p>
        </w:tc>
        <w:tc>
          <w:tcPr/>
          <w:p>
            <w:pPr>
              <w:pStyle w:val="Compact"/>
              <w:jc w:val="right"/>
            </w:pPr>
            <w:r>
              <w:t xml:space="preserve">$82.5B</w:t>
            </w:r>
          </w:p>
        </w:tc>
        <w:tc>
          <w:tcPr/>
          <w:p>
            <w:pPr>
              <w:pStyle w:val="Compact"/>
              <w:jc w:val="right"/>
            </w:pPr>
            <w:r>
              <w:rPr>
                <w:b/>
                <w:bCs/>
              </w:rPr>
              <w:t xml:space="preserve">$94.3B</w:t>
            </w:r>
          </w:p>
        </w:tc>
        <w:tc>
          <w:tcPr/>
          <w:p>
            <w:pPr>
              <w:pStyle w:val="Compact"/>
              <w:jc w:val="right"/>
            </w:pPr>
            <w:r>
              <w:t xml:space="preserve">~14%</w:t>
            </w:r>
          </w:p>
        </w:tc>
      </w:tr>
      <w:tr>
        <w:tc>
          <w:tcPr/>
          <w:p>
            <w:pPr>
              <w:pStyle w:val="Compact"/>
            </w:pPr>
            <w:r>
              <w:t xml:space="preserve">Google Cloud revenue</w:t>
            </w:r>
          </w:p>
        </w:tc>
        <w:tc>
          <w:tcPr/>
          <w:p>
            <w:pPr>
              <w:pStyle w:val="Compact"/>
              <w:jc w:val="right"/>
            </w:pPr>
            <w:r>
              <w:t xml:space="preserve">$13.6B</w:t>
            </w:r>
          </w:p>
        </w:tc>
        <w:tc>
          <w:tcPr/>
          <w:p>
            <w:pPr>
              <w:pStyle w:val="Compact"/>
              <w:jc w:val="right"/>
            </w:pPr>
            <m:oMath>
              <m:r>
                <m:t>22.2</m:t>
              </m:r>
              <m:r>
                <m:t>B</m:t>
              </m:r>
              <m:r>
                <m:rPr>
                  <m:sty m:val="p"/>
                </m:rPr>
                <m:t>–</m:t>
              </m:r>
            </m:oMath>
            <w:r>
              <w:rPr>
                <w:b/>
                <w:bCs/>
              </w:rPr>
              <w:t xml:space="preserve">22.8B</w:t>
            </w:r>
          </w:p>
        </w:tc>
        <w:tc>
          <w:tcPr/>
          <w:p>
            <w:pPr>
              <w:pStyle w:val="Compact"/>
              <w:jc w:val="right"/>
            </w:pPr>
            <w:r>
              <w:t xml:space="preserve">~63%–67%</w:t>
            </w:r>
          </w:p>
        </w:tc>
      </w:tr>
      <w:tr>
        <w:tc>
          <w:tcPr/>
          <w:p>
            <w:pPr>
              <w:pStyle w:val="Compact"/>
            </w:pPr>
            <w:r>
              <w:t xml:space="preserve">Google advertising revenue</w:t>
            </w:r>
          </w:p>
        </w:tc>
        <w:tc>
          <w:tcPr/>
          <w:p>
            <w:pPr>
              <w:pStyle w:val="Compact"/>
              <w:jc w:val="right"/>
            </w:pPr>
            <w:r>
              <w:t xml:space="preserve">$71.3B</w:t>
            </w:r>
          </w:p>
        </w:tc>
        <w:tc>
          <w:tcPr/>
          <w:p>
            <w:pPr>
              <w:pStyle w:val="Compact"/>
              <w:jc w:val="right"/>
            </w:pPr>
            <w:r>
              <w:rPr>
                <w:b/>
                <w:bCs/>
              </w:rPr>
              <w:t xml:space="preserve">$81.7B</w:t>
            </w:r>
          </w:p>
        </w:tc>
        <w:tc>
          <w:tcPr/>
          <w:p>
            <w:pPr>
              <w:pStyle w:val="Compact"/>
              <w:jc w:val="right"/>
            </w:pPr>
            <w:r>
              <w:t xml:space="preserve">~15%</w:t>
            </w:r>
          </w:p>
        </w:tc>
      </w:tr>
      <w:tr>
        <w:tc>
          <w:tcPr/>
          <w:p>
            <w:pPr>
              <w:pStyle w:val="Compact"/>
            </w:pPr>
            <w:r>
              <w:t xml:space="preserve">YouTube advertising</w:t>
            </w:r>
          </w:p>
        </w:tc>
        <w:tc>
          <w:tcPr/>
          <w:p>
            <w:pPr>
              <w:pStyle w:val="Compact"/>
              <w:jc w:val="right"/>
            </w:pPr>
            <w:r>
              <w:t xml:space="preserve">$9.8B</w:t>
            </w:r>
          </w:p>
        </w:tc>
        <w:tc>
          <w:tcPr/>
          <w:p>
            <w:pPr>
              <w:pStyle w:val="Compact"/>
              <w:jc w:val="right"/>
            </w:pPr>
            <w:r>
              <w:rPr>
                <w:b/>
                <w:bCs/>
              </w:rPr>
              <w:t xml:space="preserve">$10.8B</w:t>
            </w:r>
          </w:p>
        </w:tc>
        <w:tc>
          <w:tcPr/>
          <w:p>
            <w:pPr>
              <w:pStyle w:val="Compact"/>
              <w:jc w:val="right"/>
            </w:pPr>
            <w:r>
              <w:t xml:space="preserve">~10%</w:t>
            </w:r>
          </w:p>
        </w:tc>
      </w:tr>
      <w:tr>
        <w:tc>
          <w:tcPr/>
          <w:p>
            <w:pPr>
              <w:pStyle w:val="Compact"/>
            </w:pPr>
            <w:r>
              <w:t xml:space="preserve">Operating income</w:t>
            </w:r>
          </w:p>
        </w:tc>
        <w:tc>
          <w:tcPr/>
          <w:p>
            <w:pPr>
              <w:pStyle w:val="Compact"/>
              <w:jc w:val="right"/>
            </w:pPr>
            <w:r>
              <w:t xml:space="preserve">$31.3B</w:t>
            </w:r>
          </w:p>
        </w:tc>
        <w:tc>
          <w:tcPr/>
          <w:p>
            <w:pPr>
              <w:pStyle w:val="Compact"/>
              <w:jc w:val="right"/>
            </w:pPr>
            <w:r>
              <w:rPr>
                <w:b/>
                <w:bCs/>
              </w:rPr>
              <w:t xml:space="preserve">$40.4B</w:t>
            </w:r>
          </w:p>
        </w:tc>
        <w:tc>
          <w:tcPr/>
          <w:p>
            <w:pPr>
              <w:pStyle w:val="Compact"/>
              <w:jc w:val="right"/>
            </w:pPr>
            <w:r>
              <w:t xml:space="preserve">~29%</w:t>
            </w:r>
          </w:p>
        </w:tc>
      </w:tr>
      <w:tr>
        <w:tc>
          <w:tcPr/>
          <w:p>
            <w:pPr>
              <w:pStyle w:val="Compact"/>
            </w:pPr>
            <w:r>
              <w:t xml:space="preserve">Operating margin</w:t>
            </w:r>
          </w:p>
        </w:tc>
        <w:tc>
          <w:tcPr/>
          <w:p>
            <w:pPr>
              <w:pStyle w:val="Compact"/>
              <w:jc w:val="right"/>
            </w:pPr>
            <w:r>
              <w:t xml:space="preserve">32.4%</w:t>
            </w:r>
          </w:p>
        </w:tc>
        <w:tc>
          <w:tcPr/>
          <w:p>
            <w:pPr>
              <w:pStyle w:val="Compact"/>
              <w:jc w:val="right"/>
            </w:pPr>
            <w:r>
              <w:rPr>
                <w:b/>
                <w:bCs/>
              </w:rPr>
              <w:t xml:space="preserve">~35.3%</w:t>
            </w:r>
          </w:p>
        </w:tc>
        <w:tc>
          <w:tcPr/>
          <w:p>
            <w:pPr>
              <w:pStyle w:val="Compact"/>
              <w:jc w:val="right"/>
            </w:pPr>
            <w:r>
              <w:t xml:space="preserve">+~290 bps</w:t>
            </w:r>
          </w:p>
        </w:tc>
      </w:tr>
    </w:tbl>
    <w:p>
      <w:pPr>
        <w:pStyle w:val="BodyText"/>
      </w:pPr>
      <w:r>
        <w:t xml:space="preserve">The broad Street expectation is for revenue near $117 billion and EPS around $2.90. LSEG estimates Cloud revenue of $22.2 billion and a 35.3% consolidated operating margin, while the Zacks consensus is somewhat more aggressive on Cloud at $22.8 billion. (</w:t>
      </w:r>
      <w:hyperlink r:id="rId11">
        <w:r>
          <w:rPr>
            <w:rStyle w:val="Hyperlink"/>
          </w:rPr>
          <w:t xml:space="preserve">ig.com</w:t>
        </w:r>
      </w:hyperlink>
      <w:r>
        <w:t xml:space="preserve">)</w:t>
      </w:r>
    </w:p>
    <w:p>
      <w:r>
        <w:pict>
          <v:rect style="width:0;height:1.5pt" o:hralign="center" o:hrstd="t" o:hr="t"/>
        </w:pict>
      </w:r>
    </w:p>
    <w:bookmarkEnd w:id="12"/>
    <w:bookmarkStart w:id="17" w:name="X24164b26554c4a46481b194bbc255aeb2b516fd"/>
    <w:p>
      <w:pPr>
        <w:pStyle w:val="Heading2"/>
      </w:pPr>
      <w:r>
        <w:t xml:space="preserve">1. Search remains the most important test</w:t>
      </w:r>
    </w:p>
    <w:p>
      <w:pPr>
        <w:pStyle w:val="FirstParagraph"/>
      </w:pPr>
      <w:r>
        <w:t xml:space="preserve">Google Search &amp; other revenue grew</w:t>
      </w:r>
      <w:r>
        <w:t xml:space="preserve"> </w:t>
      </w:r>
      <w:r>
        <w:rPr>
          <w:b/>
          <w:bCs/>
        </w:rPr>
        <w:t xml:space="preserve">19% in Q1</w:t>
      </w:r>
      <w:r>
        <w:t xml:space="preserve">, accelerating sharply despite competition from standalone AI assistants. Management said AI experiences were increasing usage and that search queries had reached an all-time high. (</w:t>
      </w:r>
      <w:hyperlink r:id="rId13">
        <w:r>
          <w:rPr>
            <w:rStyle w:val="Hyperlink"/>
          </w:rPr>
          <w:t xml:space="preserve">sec.gov</w:t>
        </w:r>
      </w:hyperlink>
      <w:r>
        <w:t xml:space="preserve">)</w:t>
      </w:r>
    </w:p>
    <w:p>
      <w:pPr>
        <w:pStyle w:val="BodyText"/>
      </w:pPr>
      <w:r>
        <w:t xml:space="preserve">The key issue in Q2 is whether that momentum is sustainable rather than merely a favorable comparison or temporary surge in advertiser demand.</w:t>
      </w:r>
    </w:p>
    <w:bookmarkStart w:id="15" w:name="what-to-watch"/>
    <w:p>
      <w:pPr>
        <w:pStyle w:val="Heading3"/>
      </w:pPr>
      <w:r>
        <w:t xml:space="preserve">What to watch</w:t>
      </w:r>
    </w:p>
    <w:p>
      <w:pPr>
        <w:pStyle w:val="Compact"/>
        <w:numPr>
          <w:ilvl w:val="0"/>
          <w:numId w:val="1002"/>
        </w:numPr>
      </w:pPr>
      <w:r>
        <w:t xml:space="preserve">Search revenue growth relative to Q1’s 19%</w:t>
      </w:r>
    </w:p>
    <w:p>
      <w:pPr>
        <w:pStyle w:val="Compact"/>
        <w:numPr>
          <w:ilvl w:val="0"/>
          <w:numId w:val="1002"/>
        </w:numPr>
      </w:pPr>
      <w:r>
        <w:t xml:space="preserve">Commercial-query growth in AI Overviews and AI Mode</w:t>
      </w:r>
    </w:p>
    <w:p>
      <w:pPr>
        <w:pStyle w:val="Compact"/>
        <w:numPr>
          <w:ilvl w:val="0"/>
          <w:numId w:val="1002"/>
        </w:numPr>
      </w:pPr>
      <w:r>
        <w:t xml:space="preserve">Whether AI features are increasing total query frequency</w:t>
      </w:r>
    </w:p>
    <w:p>
      <w:pPr>
        <w:pStyle w:val="Compact"/>
        <w:numPr>
          <w:ilvl w:val="0"/>
          <w:numId w:val="1002"/>
        </w:numPr>
      </w:pPr>
      <w:r>
        <w:t xml:space="preserve">Ad coverage on longer, conversational queries</w:t>
      </w:r>
    </w:p>
    <w:p>
      <w:pPr>
        <w:pStyle w:val="Compact"/>
        <w:numPr>
          <w:ilvl w:val="0"/>
          <w:numId w:val="1002"/>
        </w:numPr>
      </w:pPr>
      <w:r>
        <w:t xml:space="preserve">Advertiser adoption of AI Max and Performance Max</w:t>
      </w:r>
    </w:p>
    <w:p>
      <w:pPr>
        <w:pStyle w:val="Compact"/>
        <w:numPr>
          <w:ilvl w:val="0"/>
          <w:numId w:val="1002"/>
        </w:numPr>
      </w:pPr>
      <w:r>
        <w:t xml:space="preserve">Commentary on click volume, cost per click, and conversion quality</w:t>
      </w:r>
    </w:p>
    <w:p>
      <w:pPr>
        <w:pStyle w:val="Compact"/>
        <w:numPr>
          <w:ilvl w:val="0"/>
          <w:numId w:val="1002"/>
        </w:numPr>
      </w:pPr>
      <w:r>
        <w:t xml:space="preserve">Any timeline for broader monetization inside the Gemini app</w:t>
      </w:r>
    </w:p>
    <w:p>
      <w:pPr>
        <w:pStyle w:val="FirstParagraph"/>
      </w:pPr>
      <w:r>
        <w:t xml:space="preserve">Consensus calls for total Google advertising revenue of about</w:t>
      </w:r>
      <w:r>
        <w:t xml:space="preserve"> </w:t>
      </w:r>
      <w:r>
        <w:rPr>
          <w:b/>
          <w:bCs/>
        </w:rPr>
        <w:t xml:space="preserve">$81.7 billion</w:t>
      </w:r>
      <w:r>
        <w:t xml:space="preserve">, up roughly 15%. A result materially above that level would support management’s claim that generative AI is expanding Search rather than cannibalizing it. (</w:t>
      </w:r>
      <w:hyperlink r:id="rId14">
        <w:r>
          <w:rPr>
            <w:rStyle w:val="Hyperlink"/>
          </w:rPr>
          <w:t xml:space="preserve">au.finance.yahoo.com</w:t>
        </w:r>
      </w:hyperlink>
      <w:r>
        <w:t xml:space="preserve">)</w:t>
      </w:r>
    </w:p>
    <w:bookmarkEnd w:id="15"/>
    <w:bookmarkStart w:id="16" w:name="what-would-concern-investors"/>
    <w:p>
      <w:pPr>
        <w:pStyle w:val="Heading3"/>
      </w:pPr>
      <w:r>
        <w:t xml:space="preserve">What would concern investors</w:t>
      </w:r>
    </w:p>
    <w:p>
      <w:pPr>
        <w:pStyle w:val="FirstParagraph"/>
      </w:pPr>
      <w:r>
        <w:t xml:space="preserve">The most concerning combination would be slowing Search revenue alongside rising AI-serving costs. Search can remain strategically dominant while becoming less economically attractive if AI answers require substantially more compute but do not produce proportional gains in commercial engagement.</w:t>
      </w:r>
    </w:p>
    <w:p>
      <w:pPr>
        <w:pStyle w:val="BodyText"/>
      </w:pPr>
      <w:r>
        <w:t xml:space="preserve">Investors should therefore listen for evidence that Alphabet continues to lower inference costs and improve monetization—not simply add users.</w:t>
      </w:r>
    </w:p>
    <w:p>
      <w:r>
        <w:pict>
          <v:rect style="width:0;height:1.5pt" o:hralign="center" o:hrstd="t" o:hr="t"/>
        </w:pict>
      </w:r>
    </w:p>
    <w:bookmarkEnd w:id="16"/>
    <w:bookmarkEnd w:id="17"/>
    <w:bookmarkStart w:id="22" w:name="Xf01ec39350c95c8a8794b9d3b4717d00175a5e7"/>
    <w:p>
      <w:pPr>
        <w:pStyle w:val="Heading2"/>
      </w:pPr>
      <w:r>
        <w:t xml:space="preserve">2. Google Cloud is now the principal upside driver</w:t>
      </w:r>
    </w:p>
    <w:p>
      <w:pPr>
        <w:pStyle w:val="FirstParagraph"/>
      </w:pPr>
      <w:r>
        <w:t xml:space="preserve">Cloud was the standout business in Q1:</w:t>
      </w:r>
    </w:p>
    <w:p>
      <w:pPr>
        <w:pStyle w:val="Compact"/>
        <w:numPr>
          <w:ilvl w:val="0"/>
          <w:numId w:val="1003"/>
        </w:numPr>
      </w:pPr>
      <w:r>
        <w:t xml:space="preserve">Revenue:</w:t>
      </w:r>
      <w:r>
        <w:t xml:space="preserve"> </w:t>
      </w:r>
      <w:r>
        <w:rPr>
          <w:b/>
          <w:bCs/>
        </w:rPr>
        <w:t xml:space="preserve">$20.0 billion</w:t>
      </w:r>
      <w:r>
        <w:t xml:space="preserve">, up 63%</w:t>
      </w:r>
    </w:p>
    <w:p>
      <w:pPr>
        <w:pStyle w:val="Compact"/>
        <w:numPr>
          <w:ilvl w:val="0"/>
          <w:numId w:val="1003"/>
        </w:numPr>
      </w:pPr>
      <w:r>
        <w:t xml:space="preserve">Operating income:</w:t>
      </w:r>
      <w:r>
        <w:t xml:space="preserve"> </w:t>
      </w:r>
      <w:r>
        <w:rPr>
          <w:b/>
          <w:bCs/>
        </w:rPr>
        <w:t xml:space="preserve">$6.6 billion</w:t>
      </w:r>
    </w:p>
    <w:p>
      <w:pPr>
        <w:pStyle w:val="Compact"/>
        <w:numPr>
          <w:ilvl w:val="0"/>
          <w:numId w:val="1003"/>
        </w:numPr>
      </w:pPr>
      <w:r>
        <w:t xml:space="preserve">Operating margin: approximately</w:t>
      </w:r>
      <w:r>
        <w:t xml:space="preserve"> </w:t>
      </w:r>
      <w:r>
        <w:rPr>
          <w:b/>
          <w:bCs/>
        </w:rPr>
        <w:t xml:space="preserve">32.9%</w:t>
      </w:r>
    </w:p>
    <w:p>
      <w:pPr>
        <w:pStyle w:val="Compact"/>
        <w:numPr>
          <w:ilvl w:val="0"/>
          <w:numId w:val="1003"/>
        </w:numPr>
      </w:pPr>
      <w:r>
        <w:t xml:space="preserve">Backlog: more than</w:t>
      </w:r>
      <w:r>
        <w:t xml:space="preserve"> </w:t>
      </w:r>
      <w:r>
        <w:rPr>
          <w:b/>
          <w:bCs/>
        </w:rPr>
        <w:t xml:space="preserve">$460 billion</w:t>
      </w:r>
      <w:r>
        <w:t xml:space="preserve">, nearly double the prior quarter</w:t>
      </w:r>
    </w:p>
    <w:p>
      <w:pPr>
        <w:pStyle w:val="FirstParagraph"/>
      </w:pPr>
      <w:r>
        <w:t xml:space="preserve">The company attributed the acceleration to enterprise AI solutions, AI infrastructure, and core GCP services. (</w:t>
      </w:r>
      <w:hyperlink r:id="rId13">
        <w:r>
          <w:rPr>
            <w:rStyle w:val="Hyperlink"/>
          </w:rPr>
          <w:t xml:space="preserve">sec.gov</w:t>
        </w:r>
      </w:hyperlink>
      <w:r>
        <w:t xml:space="preserve">)</w:t>
      </w:r>
    </w:p>
    <w:p>
      <w:pPr>
        <w:pStyle w:val="BodyText"/>
      </w:pPr>
      <w:r>
        <w:t xml:space="preserve">For Q2, the Street expects approximately</w:t>
      </w:r>
      <w:r>
        <w:t xml:space="preserve"> </w:t>
      </w:r>
      <w:r>
        <w:rPr>
          <w:b/>
          <w:bCs/>
        </w:rPr>
        <w:t xml:space="preserve">$22.2 billion to $22.8 billion</w:t>
      </w:r>
      <w:r>
        <w:t xml:space="preserve"> </w:t>
      </w:r>
      <w:r>
        <w:t xml:space="preserve">of Cloud revenue. That is a very high bar: even the lower estimate implies growth of roughly 63%. (</w:t>
      </w:r>
      <w:hyperlink r:id="rId11">
        <w:r>
          <w:rPr>
            <w:rStyle w:val="Hyperlink"/>
          </w:rPr>
          <w:t xml:space="preserve">ig.com</w:t>
        </w:r>
      </w:hyperlink>
      <w:r>
        <w:t xml:space="preserve">)</w:t>
      </w:r>
    </w:p>
    <w:bookmarkStart w:id="21" w:name="the-three-cloud-metrics-that-matter"/>
    <w:p>
      <w:pPr>
        <w:pStyle w:val="Heading3"/>
      </w:pPr>
      <w:r>
        <w:t xml:space="preserve">The three Cloud metrics that matter</w:t>
      </w:r>
    </w:p>
    <w:bookmarkStart w:id="18" w:name="Xbd1d9be4f4177010250bc90195b14cfef55ebbc"/>
    <w:p>
      <w:pPr>
        <w:pStyle w:val="Heading4"/>
      </w:pPr>
      <w:r>
        <w:t xml:space="preserve">1. Revenue growth</w:t>
      </w:r>
    </w:p>
    <w:p>
      <w:pPr>
        <w:pStyle w:val="FirstParagraph"/>
      </w:pPr>
      <w:r>
        <w:t xml:space="preserve">Cloud likely needs to remain around 60% growth to be viewed as a clean result. Because the business is capacity-constrained, a slowdown could reflect deployment timing rather than demand—but the market may not give Alphabet much credit for unavailable capacity after such a large investment program.</w:t>
      </w:r>
    </w:p>
    <w:bookmarkEnd w:id="18"/>
    <w:bookmarkStart w:id="19" w:name="X4372c76e33fbf68878ed0ca79a0e16016a8d03f"/>
    <w:p>
      <w:pPr>
        <w:pStyle w:val="Heading4"/>
      </w:pPr>
      <w:r>
        <w:t xml:space="preserve">2. Backlog conversion</w:t>
      </w:r>
    </w:p>
    <w:p>
      <w:pPr>
        <w:pStyle w:val="FirstParagraph"/>
      </w:pPr>
      <w:r>
        <w:t xml:space="preserve">The Q1 backlog was spectacular, but backlog itself is not cash flow. Investors need evidence that signed contracts are converting into recognized revenue on schedule.</w:t>
      </w:r>
    </w:p>
    <w:p>
      <w:pPr>
        <w:pStyle w:val="BodyText"/>
      </w:pPr>
      <w:r>
        <w:t xml:space="preserve">Important disclosures would include:</w:t>
      </w:r>
    </w:p>
    <w:p>
      <w:pPr>
        <w:pStyle w:val="Compact"/>
        <w:numPr>
          <w:ilvl w:val="0"/>
          <w:numId w:val="1004"/>
        </w:numPr>
      </w:pPr>
      <w:r>
        <w:t xml:space="preserve">Updated backlog</w:t>
      </w:r>
    </w:p>
    <w:p>
      <w:pPr>
        <w:pStyle w:val="Compact"/>
        <w:numPr>
          <w:ilvl w:val="0"/>
          <w:numId w:val="1004"/>
        </w:numPr>
      </w:pPr>
      <w:r>
        <w:t xml:space="preserve">Percentage expected to convert during the next 24 months</w:t>
      </w:r>
    </w:p>
    <w:p>
      <w:pPr>
        <w:pStyle w:val="Compact"/>
        <w:numPr>
          <w:ilvl w:val="0"/>
          <w:numId w:val="1004"/>
        </w:numPr>
      </w:pPr>
      <w:r>
        <w:t xml:space="preserve">Capacity constraints</w:t>
      </w:r>
    </w:p>
    <w:p>
      <w:pPr>
        <w:pStyle w:val="Compact"/>
        <w:numPr>
          <w:ilvl w:val="0"/>
          <w:numId w:val="1004"/>
        </w:numPr>
      </w:pPr>
      <w:r>
        <w:t xml:space="preserve">Timing of new data-center and server deployments</w:t>
      </w:r>
    </w:p>
    <w:p>
      <w:pPr>
        <w:pStyle w:val="Compact"/>
        <w:numPr>
          <w:ilvl w:val="0"/>
          <w:numId w:val="1004"/>
        </w:numPr>
      </w:pPr>
      <w:r>
        <w:t xml:space="preserve">Contributions from external TPU hardware sales</w:t>
      </w:r>
    </w:p>
    <w:bookmarkEnd w:id="19"/>
    <w:bookmarkStart w:id="20" w:name="Xce0ca4acdca6183db0962745312cbff13a33136"/>
    <w:p>
      <w:pPr>
        <w:pStyle w:val="Heading4"/>
      </w:pPr>
      <w:r>
        <w:t xml:space="preserve">3. Cloud margin</w:t>
      </w:r>
    </w:p>
    <w:p>
      <w:pPr>
        <w:pStyle w:val="FirstParagraph"/>
      </w:pPr>
      <w:r>
        <w:t xml:space="preserve">Q1’s approximately 33% margin demonstrated that rapid AI growth does not necessarily mean poor economics. A Q2 Cloud margin around or above 30% would be reassuring, particularly because the Wiz acquisition is expected to create a modest margin headwind.</w:t>
      </w:r>
    </w:p>
    <w:p>
      <w:pPr>
        <w:pStyle w:val="BodyText"/>
      </w:pPr>
      <w:r>
        <w:t xml:space="preserve">A sharp drop in Cloud margin—without corresponding revenue upside—would raise questions about the profitability of large AI infrastructure contracts.</w:t>
      </w:r>
    </w:p>
    <w:p>
      <w:r>
        <w:pict>
          <v:rect style="width:0;height:1.5pt" o:hralign="center" o:hrstd="t" o:hr="t"/>
        </w:pict>
      </w:r>
    </w:p>
    <w:bookmarkEnd w:id="20"/>
    <w:bookmarkEnd w:id="21"/>
    <w:bookmarkEnd w:id="22"/>
    <w:bookmarkStart w:id="24" w:name="X5ab8422fe0406f526df97efba42748618921561"/>
    <w:p>
      <w:pPr>
        <w:pStyle w:val="Heading2"/>
      </w:pPr>
      <w:r>
        <w:t xml:space="preserve">3. Capex may determine the stock reaction</w:t>
      </w:r>
    </w:p>
    <w:p>
      <w:pPr>
        <w:pStyle w:val="FirstParagraph"/>
      </w:pPr>
      <w:r>
        <w:t xml:space="preserve">Alphabet raised its 2026 capex outlook to</w:t>
      </w:r>
      <w:r>
        <w:t xml:space="preserve"> </w:t>
      </w:r>
      <m:oMath>
        <m:r>
          <m:t>180</m:t>
        </m:r>
        <m:r>
          <m:rPr>
            <m:sty m:val="p"/>
          </m:rPr>
          <m:t>–</m:t>
        </m:r>
      </m:oMath>
      <w:r>
        <w:rPr>
          <w:b/>
          <w:bCs/>
        </w:rPr>
        <w:t xml:space="preserve">190 billion</w:t>
      </w:r>
      <w:r>
        <w:t xml:space="preserve"> </w:t>
      </w:r>
      <w:r>
        <w:t xml:space="preserve">last quarter and indicated that 2027 spending would increase significantly again. The company spent</w:t>
      </w:r>
      <w:r>
        <w:t xml:space="preserve"> </w:t>
      </w:r>
      <w:r>
        <w:rPr>
          <w:b/>
          <w:bCs/>
        </w:rPr>
        <w:t xml:space="preserve">$35.7 billion in Q1</w:t>
      </w:r>
      <w:r>
        <w:t xml:space="preserve">, compared with $22.4 billion in Q2 2025. (</w:t>
      </w:r>
      <w:hyperlink r:id="rId11">
        <w:r>
          <w:rPr>
            <w:rStyle w:val="Hyperlink"/>
          </w:rPr>
          <w:t xml:space="preserve">ig.com</w:t>
        </w:r>
      </w:hyperlink>
      <w:r>
        <w:t xml:space="preserve">)</w:t>
      </w:r>
    </w:p>
    <w:p>
      <w:pPr>
        <w:pStyle w:val="BodyText"/>
      </w:pPr>
      <w:r>
        <w:t xml:space="preserve">The market is likely to tolerate elevated spending if Alphabet can demonstrate:</w:t>
      </w:r>
    </w:p>
    <w:p>
      <w:pPr>
        <w:pStyle w:val="Compact"/>
        <w:numPr>
          <w:ilvl w:val="0"/>
          <w:numId w:val="1005"/>
        </w:numPr>
      </w:pPr>
      <w:r>
        <w:t xml:space="preserve">Cloud revenue well above 50% growth</w:t>
      </w:r>
    </w:p>
    <w:p>
      <w:pPr>
        <w:pStyle w:val="Compact"/>
        <w:numPr>
          <w:ilvl w:val="0"/>
          <w:numId w:val="1005"/>
        </w:numPr>
      </w:pPr>
      <w:r>
        <w:t xml:space="preserve">Continued backlog expansion</w:t>
      </w:r>
    </w:p>
    <w:p>
      <w:pPr>
        <w:pStyle w:val="Compact"/>
        <w:numPr>
          <w:ilvl w:val="0"/>
          <w:numId w:val="1005"/>
        </w:numPr>
      </w:pPr>
      <w:r>
        <w:t xml:space="preserve">Search revenue growth in the mid-to-high teens</w:t>
      </w:r>
    </w:p>
    <w:p>
      <w:pPr>
        <w:pStyle w:val="Compact"/>
        <w:numPr>
          <w:ilvl w:val="0"/>
          <w:numId w:val="1005"/>
        </w:numPr>
      </w:pPr>
      <w:r>
        <w:t xml:space="preserve">Stable or expanding operating margins</w:t>
      </w:r>
    </w:p>
    <w:p>
      <w:pPr>
        <w:pStyle w:val="Compact"/>
        <w:numPr>
          <w:ilvl w:val="0"/>
          <w:numId w:val="1005"/>
        </w:numPr>
      </w:pPr>
      <w:r>
        <w:t xml:space="preserve">Falling AI inference costs</w:t>
      </w:r>
    </w:p>
    <w:p>
      <w:pPr>
        <w:pStyle w:val="Compact"/>
        <w:numPr>
          <w:ilvl w:val="0"/>
          <w:numId w:val="1005"/>
        </w:numPr>
      </w:pPr>
      <w:r>
        <w:t xml:space="preserve">Clear utilization of installed capacity</w:t>
      </w:r>
    </w:p>
    <w:p>
      <w:pPr>
        <w:pStyle w:val="FirstParagraph"/>
      </w:pPr>
      <w:r>
        <w:t xml:space="preserve">Conversely, another capex increase without stronger near-term revenue or margin evidence could be poorly received.</w:t>
      </w:r>
    </w:p>
    <w:bookmarkStart w:id="23" w:name="questions-management-needs-to-answer"/>
    <w:p>
      <w:pPr>
        <w:pStyle w:val="Heading3"/>
      </w:pPr>
      <w:r>
        <w:t xml:space="preserve">Questions management needs to answer</w:t>
      </w:r>
    </w:p>
    <w:p>
      <w:pPr>
        <w:pStyle w:val="Compact"/>
        <w:numPr>
          <w:ilvl w:val="0"/>
          <w:numId w:val="1006"/>
        </w:numPr>
      </w:pPr>
      <w:r>
        <w:t xml:space="preserve">Is the</w:t>
      </w:r>
      <w:r>
        <w:t xml:space="preserve"> </w:t>
      </w:r>
      <m:oMath>
        <m:r>
          <m:t>180</m:t>
        </m:r>
        <m:r>
          <m:rPr>
            <m:sty m:val="p"/>
          </m:rPr>
          <m:t>–</m:t>
        </m:r>
      </m:oMath>
      <w:r>
        <w:t xml:space="preserve">190 billion range still sufficient?</w:t>
      </w:r>
    </w:p>
    <w:p>
      <w:pPr>
        <w:pStyle w:val="Compact"/>
        <w:numPr>
          <w:ilvl w:val="0"/>
          <w:numId w:val="1006"/>
        </w:numPr>
      </w:pPr>
      <w:r>
        <w:t xml:space="preserve">How much of 2026 spending is supporting external Cloud demand versus internal products?</w:t>
      </w:r>
    </w:p>
    <w:p>
      <w:pPr>
        <w:pStyle w:val="Compact"/>
        <w:numPr>
          <w:ilvl w:val="0"/>
          <w:numId w:val="1006"/>
        </w:numPr>
      </w:pPr>
      <w:r>
        <w:t xml:space="preserve">When does the current investment cycle materially increase available capacity?</w:t>
      </w:r>
    </w:p>
    <w:p>
      <w:pPr>
        <w:pStyle w:val="Compact"/>
        <w:numPr>
          <w:ilvl w:val="0"/>
          <w:numId w:val="1006"/>
        </w:numPr>
      </w:pPr>
      <w:r>
        <w:t xml:space="preserve">Is Alphabet still turning away or delaying Cloud workloads?</w:t>
      </w:r>
    </w:p>
    <w:p>
      <w:pPr>
        <w:pStyle w:val="Compact"/>
        <w:numPr>
          <w:ilvl w:val="0"/>
          <w:numId w:val="1006"/>
        </w:numPr>
      </w:pPr>
      <w:r>
        <w:t xml:space="preserve">How should investors think about 2027 capex?</w:t>
      </w:r>
    </w:p>
    <w:p>
      <w:pPr>
        <w:pStyle w:val="Compact"/>
        <w:numPr>
          <w:ilvl w:val="0"/>
          <w:numId w:val="1006"/>
        </w:numPr>
      </w:pPr>
      <w:r>
        <w:t xml:space="preserve">What returns does management require when allocating compute between Search, Gemini, Cloud customers, and model training?</w:t>
      </w:r>
    </w:p>
    <w:p>
      <w:pPr>
        <w:pStyle w:val="FirstParagraph"/>
      </w:pPr>
      <w:r>
        <w:t xml:space="preserve">The best outcome is not necessarily lower spending. It is</w:t>
      </w:r>
      <w:r>
        <w:t xml:space="preserve"> </w:t>
      </w:r>
      <w:r>
        <w:rPr>
          <w:b/>
          <w:bCs/>
        </w:rPr>
        <w:t xml:space="preserve">high spending accompanied by measurable utilization and attractive incremental margins</w:t>
      </w:r>
      <w:r>
        <w:t xml:space="preserve">.</w:t>
      </w:r>
    </w:p>
    <w:p>
      <w:r>
        <w:pict>
          <v:rect style="width:0;height:1.5pt" o:hralign="center" o:hrstd="t" o:hr="t"/>
        </w:pict>
      </w:r>
    </w:p>
    <w:bookmarkEnd w:id="23"/>
    <w:bookmarkEnd w:id="24"/>
    <w:bookmarkStart w:id="28" w:name="X288b815e541184d831ad5ee9a630537047a1464"/>
    <w:p>
      <w:pPr>
        <w:pStyle w:val="Heading2"/>
      </w:pPr>
      <w:r>
        <w:t xml:space="preserve">4. Gemini execution is the principal narrative risk</w:t>
      </w:r>
    </w:p>
    <w:p>
      <w:pPr>
        <w:pStyle w:val="FirstParagraph"/>
      </w:pPr>
      <w:r>
        <w:t xml:space="preserve">Recent reports have focused on delays to the flagship</w:t>
      </w:r>
      <w:r>
        <w:t xml:space="preserve"> </w:t>
      </w:r>
      <w:r>
        <w:rPr>
          <w:b/>
          <w:bCs/>
        </w:rPr>
        <w:t xml:space="preserve">Gemini 3.5 Pro</w:t>
      </w:r>
      <w:r>
        <w:t xml:space="preserve"> </w:t>
      </w:r>
      <w:r>
        <w:t xml:space="preserve">model and weaker-than-targeted performance in some internal evaluations. That has increased anxiety over whether Google is maintaining leadership at the frontier model layer. (</w:t>
      </w:r>
      <w:hyperlink r:id="rId25">
        <w:r>
          <w:rPr>
            <w:rStyle w:val="Hyperlink"/>
          </w:rPr>
          <w:t xml:space="preserve">investing.com</w:t>
        </w:r>
      </w:hyperlink>
      <w:r>
        <w:t xml:space="preserve">)</w:t>
      </w:r>
    </w:p>
    <w:p>
      <w:pPr>
        <w:pStyle w:val="BodyText"/>
      </w:pPr>
      <w:r>
        <w:t xml:space="preserve">The model issue matters for more than prestige. Gemini supports:</w:t>
      </w:r>
    </w:p>
    <w:p>
      <w:pPr>
        <w:pStyle w:val="Compact"/>
        <w:numPr>
          <w:ilvl w:val="0"/>
          <w:numId w:val="1007"/>
        </w:numPr>
      </w:pPr>
      <w:r>
        <w:t xml:space="preserve">Search and AI Mode</w:t>
      </w:r>
    </w:p>
    <w:p>
      <w:pPr>
        <w:pStyle w:val="Compact"/>
        <w:numPr>
          <w:ilvl w:val="0"/>
          <w:numId w:val="1007"/>
        </w:numPr>
      </w:pPr>
      <w:r>
        <w:t xml:space="preserve">Cloud model consumption</w:t>
      </w:r>
    </w:p>
    <w:p>
      <w:pPr>
        <w:pStyle w:val="Compact"/>
        <w:numPr>
          <w:ilvl w:val="0"/>
          <w:numId w:val="1007"/>
        </w:numPr>
      </w:pPr>
      <w:r>
        <w:t xml:space="preserve">Gemini Enterprise</w:t>
      </w:r>
    </w:p>
    <w:p>
      <w:pPr>
        <w:pStyle w:val="Compact"/>
        <w:numPr>
          <w:ilvl w:val="0"/>
          <w:numId w:val="1007"/>
        </w:numPr>
      </w:pPr>
      <w:r>
        <w:t xml:space="preserve">Google One AI subscriptions</w:t>
      </w:r>
    </w:p>
    <w:p>
      <w:pPr>
        <w:pStyle w:val="Compact"/>
        <w:numPr>
          <w:ilvl w:val="0"/>
          <w:numId w:val="1007"/>
        </w:numPr>
      </w:pPr>
      <w:r>
        <w:t xml:space="preserve">Workspace</w:t>
      </w:r>
    </w:p>
    <w:p>
      <w:pPr>
        <w:pStyle w:val="Compact"/>
        <w:numPr>
          <w:ilvl w:val="0"/>
          <w:numId w:val="1007"/>
        </w:numPr>
      </w:pPr>
      <w:r>
        <w:t xml:space="preserve">Developer API usage</w:t>
      </w:r>
    </w:p>
    <w:p>
      <w:pPr>
        <w:pStyle w:val="Compact"/>
        <w:numPr>
          <w:ilvl w:val="0"/>
          <w:numId w:val="1007"/>
        </w:numPr>
      </w:pPr>
      <w:r>
        <w:t xml:space="preserve">Internal engineering productivity</w:t>
      </w:r>
    </w:p>
    <w:p>
      <w:pPr>
        <w:pStyle w:val="FirstParagraph"/>
      </w:pPr>
      <w:r>
        <w:t xml:space="preserve">Alphabet can still have a strong quarter despite a delayed flagship model. But investors will want a credible timeline and evidence that the delay is about product quality rather than a deeper loss of technical momentum.</w:t>
      </w:r>
    </w:p>
    <w:bookmarkStart w:id="26" w:name="positive-signals"/>
    <w:p>
      <w:pPr>
        <w:pStyle w:val="Heading3"/>
      </w:pPr>
      <w:r>
        <w:t xml:space="preserve">Positive signals</w:t>
      </w:r>
    </w:p>
    <w:p>
      <w:pPr>
        <w:pStyle w:val="Compact"/>
        <w:numPr>
          <w:ilvl w:val="0"/>
          <w:numId w:val="1008"/>
        </w:numPr>
      </w:pPr>
      <w:r>
        <w:t xml:space="preserve">Specific launch timing for Gemini 3.5 Pro</w:t>
      </w:r>
    </w:p>
    <w:p>
      <w:pPr>
        <w:pStyle w:val="Compact"/>
        <w:numPr>
          <w:ilvl w:val="0"/>
          <w:numId w:val="1008"/>
        </w:numPr>
      </w:pPr>
      <w:r>
        <w:t xml:space="preserve">Growth in Gemini app users and engagement</w:t>
      </w:r>
    </w:p>
    <w:p>
      <w:pPr>
        <w:pStyle w:val="Compact"/>
        <w:numPr>
          <w:ilvl w:val="0"/>
          <w:numId w:val="1008"/>
        </w:numPr>
      </w:pPr>
      <w:r>
        <w:t xml:space="preserve">Continued acceleration in paid AI subscriptions</w:t>
      </w:r>
    </w:p>
    <w:p>
      <w:pPr>
        <w:pStyle w:val="Compact"/>
        <w:numPr>
          <w:ilvl w:val="0"/>
          <w:numId w:val="1008"/>
        </w:numPr>
      </w:pPr>
      <w:r>
        <w:t xml:space="preserve">Rising enterprise Gemini usage</w:t>
      </w:r>
    </w:p>
    <w:p>
      <w:pPr>
        <w:pStyle w:val="Compact"/>
        <w:numPr>
          <w:ilvl w:val="0"/>
          <w:numId w:val="1008"/>
        </w:numPr>
      </w:pPr>
      <w:r>
        <w:t xml:space="preserve">Lower token and inference costs</w:t>
      </w:r>
    </w:p>
    <w:p>
      <w:pPr>
        <w:pStyle w:val="Compact"/>
        <w:numPr>
          <w:ilvl w:val="0"/>
          <w:numId w:val="1008"/>
        </w:numPr>
      </w:pPr>
      <w:r>
        <w:t xml:space="preserve">Evidence that Flash models are winning production workloads</w:t>
      </w:r>
    </w:p>
    <w:p>
      <w:pPr>
        <w:pStyle w:val="Compact"/>
        <w:numPr>
          <w:ilvl w:val="0"/>
          <w:numId w:val="1008"/>
        </w:numPr>
      </w:pPr>
      <w:r>
        <w:t xml:space="preserve">Strong developer adoption</w:t>
      </w:r>
    </w:p>
    <w:bookmarkEnd w:id="26"/>
    <w:bookmarkStart w:id="27" w:name="negative-signals"/>
    <w:p>
      <w:pPr>
        <w:pStyle w:val="Heading3"/>
      </w:pPr>
      <w:r>
        <w:t xml:space="preserve">Negative signals</w:t>
      </w:r>
    </w:p>
    <w:p>
      <w:pPr>
        <w:pStyle w:val="Compact"/>
        <w:numPr>
          <w:ilvl w:val="0"/>
          <w:numId w:val="1009"/>
        </w:numPr>
      </w:pPr>
      <w:r>
        <w:t xml:space="preserve">Vague or repeatedly delayed timelines</w:t>
      </w:r>
    </w:p>
    <w:p>
      <w:pPr>
        <w:pStyle w:val="Compact"/>
        <w:numPr>
          <w:ilvl w:val="0"/>
          <w:numId w:val="1009"/>
        </w:numPr>
      </w:pPr>
      <w:r>
        <w:t xml:space="preserve">Management avoiding comparisons with competing models</w:t>
      </w:r>
    </w:p>
    <w:p>
      <w:pPr>
        <w:pStyle w:val="Compact"/>
        <w:numPr>
          <w:ilvl w:val="0"/>
          <w:numId w:val="1009"/>
        </w:numPr>
      </w:pPr>
      <w:r>
        <w:t xml:space="preserve">Heavy capex growth without corresponding model or usage gains</w:t>
      </w:r>
    </w:p>
    <w:p>
      <w:pPr>
        <w:pStyle w:val="Compact"/>
        <w:numPr>
          <w:ilvl w:val="0"/>
          <w:numId w:val="1009"/>
        </w:numPr>
      </w:pPr>
      <w:r>
        <w:t xml:space="preserve">Slower Gemini subscription or enterprise-seat growth</w:t>
      </w:r>
    </w:p>
    <w:p>
      <w:pPr>
        <w:pStyle w:val="Compact"/>
        <w:numPr>
          <w:ilvl w:val="0"/>
          <w:numId w:val="1009"/>
        </w:numPr>
      </w:pPr>
      <w:r>
        <w:t xml:space="preserve">Signs that price competition is compressing Cloud AI economics</w:t>
      </w:r>
    </w:p>
    <w:p>
      <w:r>
        <w:pict>
          <v:rect style="width:0;height:1.5pt" o:hralign="center" o:hrstd="t" o:hr="t"/>
        </w:pict>
      </w:r>
    </w:p>
    <w:bookmarkEnd w:id="27"/>
    <w:bookmarkEnd w:id="28"/>
    <w:bookmarkStart w:id="29" w:name="X2158f2735bc53b18e848a6bfbce4e51e9e6b67c"/>
    <w:p>
      <w:pPr>
        <w:pStyle w:val="Heading2"/>
      </w:pPr>
      <w:r>
        <w:t xml:space="preserve">5. Focus on operating profit, not just EPS</w:t>
      </w:r>
    </w:p>
    <w:p>
      <w:pPr>
        <w:pStyle w:val="FirstParagraph"/>
      </w:pPr>
      <w:r>
        <w:t xml:space="preserve">Alphabet’s Q1 diluted EPS of</w:t>
      </w:r>
      <w:r>
        <w:t xml:space="preserve"> </w:t>
      </w:r>
      <m:oMath>
        <m:r>
          <m:t>5.11</m:t>
        </m:r>
        <m:r>
          <m:rPr>
            <m:sty m:val="p"/>
          </m:rPr>
          <m:t>*</m:t>
        </m:r>
        <m:r>
          <m:rPr>
            <m:sty m:val="p"/>
          </m:rPr>
          <m:t>*</m:t>
        </m:r>
        <m:r>
          <m:t>w</m:t>
        </m:r>
        <m:r>
          <m:t>a</m:t>
        </m:r>
        <m:r>
          <m:t>s</m:t>
        </m:r>
        <m:r>
          <m:t>h</m:t>
        </m:r>
        <m:r>
          <m:t>e</m:t>
        </m:r>
        <m:r>
          <m:t>a</m:t>
        </m:r>
        <m:r>
          <m:t>v</m:t>
        </m:r>
        <m:r>
          <m:t>i</m:t>
        </m:r>
        <m:r>
          <m:t>l</m:t>
        </m:r>
        <m:r>
          <m:t>y</m:t>
        </m:r>
        <m:r>
          <m:t>a</m:t>
        </m:r>
        <m:r>
          <m:t>f</m:t>
        </m:r>
        <m:r>
          <m:t>f</m:t>
        </m:r>
        <m:r>
          <m:t>e</m:t>
        </m:r>
        <m:r>
          <m:t>c</m:t>
        </m:r>
        <m:r>
          <m:t>t</m:t>
        </m:r>
        <m:r>
          <m:t>e</m:t>
        </m:r>
        <m:r>
          <m:t>d</m:t>
        </m:r>
        <m:r>
          <m:t>b</m:t>
        </m:r>
        <m:r>
          <m:t>y</m:t>
        </m:r>
        <m:r>
          <m:t>m</m:t>
        </m:r>
        <m:r>
          <m:t>a</m:t>
        </m:r>
        <m:r>
          <m:t>r</m:t>
        </m:r>
        <m:r>
          <m:t>k</m:t>
        </m:r>
        <m:r>
          <m:rPr>
            <m:sty m:val="p"/>
          </m:rPr>
          <m:t>−</m:t>
        </m:r>
        <m:r>
          <m:t>t</m:t>
        </m:r>
        <m:r>
          <m:t>o</m:t>
        </m:r>
        <m:r>
          <m:rPr>
            <m:sty m:val="p"/>
          </m:rPr>
          <m:t>−</m:t>
        </m:r>
        <m:r>
          <m:t>m</m:t>
        </m:r>
        <m:r>
          <m:t>a</m:t>
        </m:r>
        <m:r>
          <m:t>r</m:t>
        </m:r>
        <m:r>
          <m:t>k</m:t>
        </m:r>
        <m:r>
          <m:t>e</m:t>
        </m:r>
        <m:r>
          <m:t>t</m:t>
        </m:r>
        <m:r>
          <m:t>g</m:t>
        </m:r>
        <m:r>
          <m:t>a</m:t>
        </m:r>
        <m:r>
          <m:t>i</m:t>
        </m:r>
        <m:r>
          <m:t>n</m:t>
        </m:r>
        <m:r>
          <m:t>s</m:t>
        </m:r>
        <m:r>
          <m:t>o</m:t>
        </m:r>
        <m:r>
          <m:t>n</m:t>
        </m:r>
        <m:r>
          <m:t>e</m:t>
        </m:r>
        <m:r>
          <m:t>q</m:t>
        </m:r>
        <m:r>
          <m:t>u</m:t>
        </m:r>
        <m:r>
          <m:t>i</m:t>
        </m:r>
        <m:r>
          <m:t>t</m:t>
        </m:r>
        <m:r>
          <m:t>y</m:t>
        </m:r>
        <m:r>
          <m:t>i</m:t>
        </m:r>
        <m:r>
          <m:t>n</m:t>
        </m:r>
        <m:r>
          <m:t>v</m:t>
        </m:r>
        <m:r>
          <m:t>e</m:t>
        </m:r>
        <m:r>
          <m:t>s</m:t>
        </m:r>
        <m:r>
          <m:t>t</m:t>
        </m:r>
        <m:r>
          <m:t>m</m:t>
        </m:r>
        <m:r>
          <m:t>e</m:t>
        </m:r>
        <m:r>
          <m:t>n</m:t>
        </m:r>
        <m:r>
          <m:t>t</m:t>
        </m:r>
        <m:r>
          <m:t>s</m:t>
        </m:r>
        <m:r>
          <m:rPr>
            <m:sty m:val="p"/>
          </m:rPr>
          <m:t>.</m:t>
        </m:r>
        <m:r>
          <m:t>T</m:t>
        </m:r>
        <m:r>
          <m:t>h</m:t>
        </m:r>
        <m:r>
          <m:t>e</m:t>
        </m:r>
        <m:r>
          <m:t>c</m:t>
        </m:r>
        <m:r>
          <m:t>o</m:t>
        </m:r>
        <m:r>
          <m:t>m</m:t>
        </m:r>
        <m:r>
          <m:t>p</m:t>
        </m:r>
        <m:r>
          <m:t>a</m:t>
        </m:r>
        <m:r>
          <m:t>n</m:t>
        </m:r>
        <m:r>
          <m:t>y</m:t>
        </m:r>
        <m:r>
          <m:t>r</m:t>
        </m:r>
        <m:r>
          <m:t>e</m:t>
        </m:r>
        <m:r>
          <m:t>p</m:t>
        </m:r>
        <m:r>
          <m:t>o</m:t>
        </m:r>
        <m:r>
          <m:t>r</m:t>
        </m:r>
        <m:r>
          <m:t>t</m:t>
        </m:r>
        <m:r>
          <m:t>e</m:t>
        </m:r>
        <m:r>
          <m:t>d</m:t>
        </m:r>
        <m:r>
          <m:t>t</m:t>
        </m:r>
        <m:r>
          <m:t>h</m:t>
        </m:r>
        <m:r>
          <m:t>a</m:t>
        </m:r>
        <m:r>
          <m:t>t</m:t>
        </m:r>
        <m:r>
          <m:t>e</m:t>
        </m:r>
        <m:r>
          <m:t>q</m:t>
        </m:r>
        <m:r>
          <m:t>u</m:t>
        </m:r>
        <m:r>
          <m:t>i</m:t>
        </m:r>
        <m:r>
          <m:t>t</m:t>
        </m:r>
        <m:r>
          <m:t>y</m:t>
        </m:r>
        <m:r>
          <m:rPr>
            <m:sty m:val="p"/>
          </m:rPr>
          <m:t>−</m:t>
        </m:r>
        <m:r>
          <m:t>s</m:t>
        </m:r>
        <m:r>
          <m:t>e</m:t>
        </m:r>
        <m:r>
          <m:t>c</m:t>
        </m:r>
        <m:r>
          <m:t>u</m:t>
        </m:r>
        <m:r>
          <m:t>r</m:t>
        </m:r>
        <m:r>
          <m:t>i</m:t>
        </m:r>
        <m:r>
          <m:t>t</m:t>
        </m:r>
        <m:r>
          <m:t>y</m:t>
        </m:r>
        <m:r>
          <m:t>g</m:t>
        </m:r>
        <m:r>
          <m:t>a</m:t>
        </m:r>
        <m:r>
          <m:t>i</m:t>
        </m:r>
        <m:r>
          <m:t>n</m:t>
        </m:r>
        <m:r>
          <m:t>s</m:t>
        </m:r>
        <m:r>
          <m:t>a</m:t>
        </m:r>
        <m:r>
          <m:t>d</m:t>
        </m:r>
        <m:r>
          <m:t>d</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2.35 per share</w:t>
      </w:r>
      <w:r>
        <w:t xml:space="preserve"> </w:t>
      </w:r>
      <w:r>
        <w:t xml:space="preserve">to Q1 EPS. Alphabet explicitly warned that these investments can create substantial volatility in other income. (</w:t>
      </w:r>
      <w:hyperlink r:id="rId13">
        <w:r>
          <w:rPr>
            <w:rStyle w:val="Hyperlink"/>
          </w:rPr>
          <w:t xml:space="preserve">sec.gov</w:t>
        </w:r>
      </w:hyperlink>
      <w:r>
        <w:t xml:space="preserve">)</w:t>
      </w:r>
    </w:p>
    <w:p>
      <w:pPr>
        <w:pStyle w:val="BodyText"/>
      </w:pPr>
      <w:r>
        <w:t xml:space="preserve">That makes Q2’s headline EPS potentially less informative than usual.</w:t>
      </w:r>
    </w:p>
    <w:p>
      <w:pPr>
        <w:pStyle w:val="BodyText"/>
      </w:pPr>
      <w:r>
        <w:t xml:space="preserve">Investors should place more weight on:</w:t>
      </w:r>
    </w:p>
    <w:p>
      <w:pPr>
        <w:pStyle w:val="Compact"/>
        <w:numPr>
          <w:ilvl w:val="0"/>
          <w:numId w:val="1010"/>
        </w:numPr>
      </w:pPr>
      <w:r>
        <w:t xml:space="preserve">Operating income</w:t>
      </w:r>
    </w:p>
    <w:p>
      <w:pPr>
        <w:pStyle w:val="Compact"/>
        <w:numPr>
          <w:ilvl w:val="0"/>
          <w:numId w:val="1010"/>
        </w:numPr>
      </w:pPr>
      <w:r>
        <w:t xml:space="preserve">Consolidated operating margin</w:t>
      </w:r>
    </w:p>
    <w:p>
      <w:pPr>
        <w:pStyle w:val="Compact"/>
        <w:numPr>
          <w:ilvl w:val="0"/>
          <w:numId w:val="1010"/>
        </w:numPr>
      </w:pPr>
      <w:r>
        <w:t xml:space="preserve">Google Services operating margin</w:t>
      </w:r>
    </w:p>
    <w:p>
      <w:pPr>
        <w:pStyle w:val="Compact"/>
        <w:numPr>
          <w:ilvl w:val="0"/>
          <w:numId w:val="1010"/>
        </w:numPr>
      </w:pPr>
      <w:r>
        <w:t xml:space="preserve">Cloud operating income and margin</w:t>
      </w:r>
    </w:p>
    <w:p>
      <w:pPr>
        <w:pStyle w:val="Compact"/>
        <w:numPr>
          <w:ilvl w:val="0"/>
          <w:numId w:val="1010"/>
        </w:numPr>
      </w:pPr>
      <w:r>
        <w:t xml:space="preserve">Operating cash flow</w:t>
      </w:r>
    </w:p>
    <w:p>
      <w:pPr>
        <w:pStyle w:val="Compact"/>
        <w:numPr>
          <w:ilvl w:val="0"/>
          <w:numId w:val="1010"/>
        </w:numPr>
      </w:pPr>
      <w:r>
        <w:t xml:space="preserve">Capex</w:t>
      </w:r>
    </w:p>
    <w:p>
      <w:pPr>
        <w:pStyle w:val="Compact"/>
        <w:numPr>
          <w:ilvl w:val="0"/>
          <w:numId w:val="1010"/>
        </w:numPr>
      </w:pPr>
      <w:r>
        <w:t xml:space="preserve">Free cash flow</w:t>
      </w:r>
    </w:p>
    <w:p>
      <w:pPr>
        <w:pStyle w:val="FirstParagraph"/>
      </w:pPr>
      <w:r>
        <w:t xml:space="preserve">Consensus operating income of roughly</w:t>
      </w:r>
      <w:r>
        <w:t xml:space="preserve"> </w:t>
      </w:r>
      <w:r>
        <w:rPr>
          <w:b/>
          <w:bCs/>
        </w:rPr>
        <w:t xml:space="preserve">$40.4 billion</w:t>
      </w:r>
      <w:r>
        <w:t xml:space="preserve"> </w:t>
      </w:r>
      <w:r>
        <w:t xml:space="preserve">and a</w:t>
      </w:r>
      <w:r>
        <w:t xml:space="preserve"> </w:t>
      </w:r>
      <w:r>
        <w:rPr>
          <w:b/>
          <w:bCs/>
        </w:rPr>
        <w:t xml:space="preserve">35.3% margin</w:t>
      </w:r>
      <w:r>
        <w:t xml:space="preserve"> </w:t>
      </w:r>
      <w:r>
        <w:t xml:space="preserve">provide cleaner benchmarks than EPS. (</w:t>
      </w:r>
      <w:hyperlink r:id="rId11">
        <w:r>
          <w:rPr>
            <w:rStyle w:val="Hyperlink"/>
          </w:rPr>
          <w:t xml:space="preserve">ig.com</w:t>
        </w:r>
      </w:hyperlink>
      <w:r>
        <w:t xml:space="preserve">)</w:t>
      </w:r>
    </w:p>
    <w:p>
      <w:r>
        <w:pict>
          <v:rect style="width:0;height:1.5pt" o:hralign="center" o:hrstd="t" o:hr="t"/>
        </w:pict>
      </w:r>
    </w:p>
    <w:bookmarkEnd w:id="29"/>
    <w:bookmarkStart w:id="31" w:name="Xe68e3569771fd9ba6331b5601321a1fc2fa349a"/>
    <w:p>
      <w:pPr>
        <w:pStyle w:val="Heading2"/>
      </w:pPr>
      <w:r>
        <w:t xml:space="preserve">6. YouTube and subscriptions provide useful diversification</w:t>
      </w:r>
    </w:p>
    <w:p>
      <w:pPr>
        <w:pStyle w:val="FirstParagraph"/>
      </w:pPr>
      <w:r>
        <w:t xml:space="preserve">YouTube advertising is expected to reach approximately</w:t>
      </w:r>
      <w:r>
        <w:t xml:space="preserve"> </w:t>
      </w:r>
      <w:r>
        <w:rPr>
          <w:b/>
          <w:bCs/>
        </w:rPr>
        <w:t xml:space="preserve">$10.8 billion</w:t>
      </w:r>
      <w:r>
        <w:t xml:space="preserve">, or roughly 10% year-over-year growth. (</w:t>
      </w:r>
      <w:hyperlink r:id="rId30">
        <w:r>
          <w:rPr>
            <w:rStyle w:val="Hyperlink"/>
          </w:rPr>
          <w:t xml:space="preserve">zacks.com</w:t>
        </w:r>
      </w:hyperlink>
      <w:r>
        <w:t xml:space="preserve">)</w:t>
      </w:r>
    </w:p>
    <w:p>
      <w:pPr>
        <w:pStyle w:val="BodyText"/>
      </w:pPr>
      <w:r>
        <w:t xml:space="preserve">The more strategically interesting disclosure may be subscriptions. Alphabet ended Q1 with</w:t>
      </w:r>
      <w:r>
        <w:t xml:space="preserve"> </w:t>
      </w:r>
      <w:r>
        <w:rPr>
          <w:b/>
          <w:bCs/>
        </w:rPr>
        <w:t xml:space="preserve">350 million paid subscriptions</w:t>
      </w:r>
      <w:r>
        <w:t xml:space="preserve">, led by YouTube and Google One, and described Q1 as its strongest quarter for consumer AI plans. (</w:t>
      </w:r>
      <w:hyperlink r:id="rId13">
        <w:r>
          <w:rPr>
            <w:rStyle w:val="Hyperlink"/>
          </w:rPr>
          <w:t xml:space="preserve">sec.gov</w:t>
        </w:r>
      </w:hyperlink>
      <w:r>
        <w:t xml:space="preserve">)</w:t>
      </w:r>
    </w:p>
    <w:p>
      <w:pPr>
        <w:pStyle w:val="BodyText"/>
      </w:pPr>
      <w:r>
        <w:t xml:space="preserve">Watch for:</w:t>
      </w:r>
    </w:p>
    <w:p>
      <w:pPr>
        <w:pStyle w:val="Compact"/>
        <w:numPr>
          <w:ilvl w:val="0"/>
          <w:numId w:val="1011"/>
        </w:numPr>
      </w:pPr>
      <w:r>
        <w:t xml:space="preserve">YouTube Music and Premium subscriber growth</w:t>
      </w:r>
    </w:p>
    <w:p>
      <w:pPr>
        <w:pStyle w:val="Compact"/>
        <w:numPr>
          <w:ilvl w:val="0"/>
          <w:numId w:val="1011"/>
        </w:numPr>
      </w:pPr>
      <w:r>
        <w:t xml:space="preserve">Google One AI-plan adoption</w:t>
      </w:r>
    </w:p>
    <w:p>
      <w:pPr>
        <w:pStyle w:val="Compact"/>
        <w:numPr>
          <w:ilvl w:val="0"/>
          <w:numId w:val="1011"/>
        </w:numPr>
      </w:pPr>
      <w:r>
        <w:t xml:space="preserve">Subscription revenue growth versus advertising</w:t>
      </w:r>
    </w:p>
    <w:p>
      <w:pPr>
        <w:pStyle w:val="Compact"/>
        <w:numPr>
          <w:ilvl w:val="0"/>
          <w:numId w:val="1011"/>
        </w:numPr>
      </w:pPr>
      <w:r>
        <w:t xml:space="preserve">Shorts monetization</w:t>
      </w:r>
    </w:p>
    <w:p>
      <w:pPr>
        <w:pStyle w:val="Compact"/>
        <w:numPr>
          <w:ilvl w:val="0"/>
          <w:numId w:val="1011"/>
        </w:numPr>
      </w:pPr>
      <w:r>
        <w:t xml:space="preserve">Connected-TV advertising</w:t>
      </w:r>
    </w:p>
    <w:p>
      <w:pPr>
        <w:pStyle w:val="Compact"/>
        <w:numPr>
          <w:ilvl w:val="0"/>
          <w:numId w:val="1011"/>
        </w:numPr>
      </w:pPr>
      <w:r>
        <w:t xml:space="preserve">Content acquisition costs</w:t>
      </w:r>
    </w:p>
    <w:p>
      <w:pPr>
        <w:pStyle w:val="FirstParagraph"/>
      </w:pPr>
      <w:r>
        <w:t xml:space="preserve">Subscriptions reduce Alphabet’s reliance on advertising and give it a direct route to monetize advanced Gemini capabilities. However, the company must show that AI plans are genuinely incremental rather than merely shifting existing Google One customers into differently packaged tiers.</w:t>
      </w:r>
    </w:p>
    <w:p>
      <w:r>
        <w:pict>
          <v:rect style="width:0;height:1.5pt" o:hralign="center" o:hrstd="t" o:hr="t"/>
        </w:pict>
      </w:r>
    </w:p>
    <w:bookmarkEnd w:id="31"/>
    <w:bookmarkStart w:id="35" w:name="Xf5363a5c3f2c0a3356d6627488c12e41c8f34a1"/>
    <w:p>
      <w:pPr>
        <w:pStyle w:val="Heading2"/>
      </w:pPr>
      <w:r>
        <w:t xml:space="preserve">7. Secondary items</w:t>
      </w:r>
    </w:p>
    <w:bookmarkStart w:id="32" w:name="waymo"/>
    <w:p>
      <w:pPr>
        <w:pStyle w:val="Heading3"/>
      </w:pPr>
      <w:r>
        <w:t xml:space="preserve">Waymo</w:t>
      </w:r>
    </w:p>
    <w:p>
      <w:pPr>
        <w:pStyle w:val="FirstParagraph"/>
      </w:pPr>
      <w:r>
        <w:t xml:space="preserve">Waymo is strategically important but unlikely to determine the immediate earnings reaction unless Alphabet provides a major financing, valuation, partnership, or commercialization update. Investors should monitor ride growth and expansion spending, particularly after Other Bets’ Q1 operating loss widened to $2.1 billion. (</w:t>
      </w:r>
      <w:hyperlink r:id="rId13">
        <w:r>
          <w:rPr>
            <w:rStyle w:val="Hyperlink"/>
          </w:rPr>
          <w:t xml:space="preserve">sec.gov</w:t>
        </w:r>
      </w:hyperlink>
      <w:r>
        <w:t xml:space="preserve">)</w:t>
      </w:r>
    </w:p>
    <w:bookmarkEnd w:id="32"/>
    <w:bookmarkStart w:id="33" w:name="regulatory-and-legal-exposure"/>
    <w:p>
      <w:pPr>
        <w:pStyle w:val="Heading3"/>
      </w:pPr>
      <w:r>
        <w:t xml:space="preserve">Regulatory and legal exposure</w:t>
      </w:r>
    </w:p>
    <w:p>
      <w:pPr>
        <w:pStyle w:val="FirstParagraph"/>
      </w:pPr>
      <w:r>
        <w:t xml:space="preserve">Regulatory scrutiny remains a persistent valuation discount. The latest areas of pressure include access to Android for rival AI assistants, treatment of AI Overviews, data-sharing requirements, and AI-training copyright claims. These issues are unlikely to dominate the quarter unless management records a material charge or updates its assessment of potential remedies.</w:t>
      </w:r>
    </w:p>
    <w:bookmarkEnd w:id="33"/>
    <w:bookmarkStart w:id="34" w:name="foreign-exchange"/>
    <w:p>
      <w:pPr>
        <w:pStyle w:val="Heading3"/>
      </w:pPr>
      <w:r>
        <w:t xml:space="preserve">Foreign exchange</w:t>
      </w:r>
    </w:p>
    <w:p>
      <w:pPr>
        <w:pStyle w:val="FirstParagraph"/>
      </w:pPr>
      <w:r>
        <w:t xml:space="preserve">Q1 benefited from a significant currency tailwind. Management previously indicated that the Q2 benefit should be smaller, so investors should distinguish reported growth from constant-currency growth.</w:t>
      </w:r>
    </w:p>
    <w:p>
      <w:r>
        <w:pict>
          <v:rect style="width:0;height:1.5pt" o:hralign="center" o:hrstd="t" o:hr="t"/>
        </w:pict>
      </w:r>
    </w:p>
    <w:bookmarkEnd w:id="34"/>
    <w:bookmarkEnd w:id="35"/>
    <w:bookmarkStart w:id="39" w:name="scenario-framework"/>
    <w:p>
      <w:pPr>
        <w:pStyle w:val="Heading2"/>
      </w:pPr>
      <w:r>
        <w:t xml:space="preserve">Scenario framework</w:t>
      </w:r>
    </w:p>
    <w:bookmarkStart w:id="36" w:name="bull-case"/>
    <w:p>
      <w:pPr>
        <w:pStyle w:val="Heading3"/>
      </w:pPr>
      <w:r>
        <w:t xml:space="preserve">Bull case</w:t>
      </w:r>
    </w:p>
    <w:p>
      <w:pPr>
        <w:pStyle w:val="Compact"/>
        <w:numPr>
          <w:ilvl w:val="0"/>
          <w:numId w:val="1012"/>
        </w:numPr>
      </w:pPr>
      <w:r>
        <w:t xml:space="preserve">Revenue above</w:t>
      </w:r>
      <w:r>
        <w:t xml:space="preserve"> </w:t>
      </w:r>
      <w:r>
        <w:rPr>
          <w:b/>
          <w:bCs/>
        </w:rPr>
        <w:t xml:space="preserve">$118 billion</w:t>
      </w:r>
    </w:p>
    <w:p>
      <w:pPr>
        <w:pStyle w:val="Compact"/>
        <w:numPr>
          <w:ilvl w:val="0"/>
          <w:numId w:val="1012"/>
        </w:numPr>
      </w:pPr>
      <w:r>
        <w:t xml:space="preserve">Search remains in the high teens</w:t>
      </w:r>
    </w:p>
    <w:p>
      <w:pPr>
        <w:pStyle w:val="Compact"/>
        <w:numPr>
          <w:ilvl w:val="0"/>
          <w:numId w:val="1012"/>
        </w:numPr>
      </w:pPr>
      <w:r>
        <w:t xml:space="preserve">Cloud revenue exceeds</w:t>
      </w:r>
      <w:r>
        <w:t xml:space="preserve"> </w:t>
      </w:r>
      <w:r>
        <w:rPr>
          <w:b/>
          <w:bCs/>
        </w:rPr>
        <w:t xml:space="preserve">$23 billion</w:t>
      </w:r>
    </w:p>
    <w:p>
      <w:pPr>
        <w:pStyle w:val="Compact"/>
        <w:numPr>
          <w:ilvl w:val="0"/>
          <w:numId w:val="1012"/>
        </w:numPr>
      </w:pPr>
      <w:r>
        <w:t xml:space="preserve">Cloud margin stays around or above 30%</w:t>
      </w:r>
    </w:p>
    <w:p>
      <w:pPr>
        <w:pStyle w:val="Compact"/>
        <w:numPr>
          <w:ilvl w:val="0"/>
          <w:numId w:val="1012"/>
        </w:numPr>
      </w:pPr>
      <w:r>
        <w:t xml:space="preserve">Consolidated operating margin exceeds 35%</w:t>
      </w:r>
    </w:p>
    <w:p>
      <w:pPr>
        <w:pStyle w:val="Compact"/>
        <w:numPr>
          <w:ilvl w:val="0"/>
          <w:numId w:val="1012"/>
        </w:numPr>
      </w:pPr>
      <w:r>
        <w:t xml:space="preserve">Capex guidance is maintained</w:t>
      </w:r>
    </w:p>
    <w:p>
      <w:pPr>
        <w:pStyle w:val="Compact"/>
        <w:numPr>
          <w:ilvl w:val="0"/>
          <w:numId w:val="1012"/>
        </w:numPr>
      </w:pPr>
      <w:r>
        <w:t xml:space="preserve">Backlog continues to rise</w:t>
      </w:r>
    </w:p>
    <w:p>
      <w:pPr>
        <w:pStyle w:val="Compact"/>
        <w:numPr>
          <w:ilvl w:val="0"/>
          <w:numId w:val="1012"/>
        </w:numPr>
      </w:pPr>
      <w:r>
        <w:t xml:space="preserve">Management gives a credible Gemini 3.5 Pro timeline</w:t>
      </w:r>
    </w:p>
    <w:p>
      <w:pPr>
        <w:pStyle w:val="FirstParagraph"/>
      </w:pPr>
      <w:r>
        <w:t xml:space="preserve">This would suggest Alphabet is simultaneously defending Search, gaining Cloud share, and funding AI without sacrificing operating leverage.</w:t>
      </w:r>
    </w:p>
    <w:bookmarkEnd w:id="36"/>
    <w:bookmarkStart w:id="37" w:name="base-case"/>
    <w:p>
      <w:pPr>
        <w:pStyle w:val="Heading3"/>
      </w:pPr>
      <w:r>
        <w:t xml:space="preserve">Base case</w:t>
      </w:r>
    </w:p>
    <w:p>
      <w:pPr>
        <w:pStyle w:val="Compact"/>
        <w:numPr>
          <w:ilvl w:val="0"/>
          <w:numId w:val="1013"/>
        </w:numPr>
      </w:pPr>
      <w:r>
        <w:t xml:space="preserve">Revenue around</w:t>
      </w:r>
      <w:r>
        <w:t xml:space="preserve"> </w:t>
      </w:r>
      <w:r>
        <w:rPr>
          <w:b/>
          <w:bCs/>
        </w:rPr>
        <w:t xml:space="preserve">$117 billion</w:t>
      </w:r>
    </w:p>
    <w:p>
      <w:pPr>
        <w:pStyle w:val="Compact"/>
        <w:numPr>
          <w:ilvl w:val="0"/>
          <w:numId w:val="1013"/>
        </w:numPr>
      </w:pPr>
      <w:r>
        <w:t xml:space="preserve">EPS around</w:t>
      </w:r>
      <w:r>
        <w:t xml:space="preserve"> </w:t>
      </w:r>
      <w:r>
        <w:rPr>
          <w:b/>
          <w:bCs/>
        </w:rPr>
        <w:t xml:space="preserve">$2.90</w:t>
      </w:r>
    </w:p>
    <w:p>
      <w:pPr>
        <w:pStyle w:val="Compact"/>
        <w:numPr>
          <w:ilvl w:val="0"/>
          <w:numId w:val="1013"/>
        </w:numPr>
      </w:pPr>
      <w:r>
        <w:t xml:space="preserve">Search grows in the mid-teens</w:t>
      </w:r>
    </w:p>
    <w:p>
      <w:pPr>
        <w:pStyle w:val="Compact"/>
        <w:numPr>
          <w:ilvl w:val="0"/>
          <w:numId w:val="1013"/>
        </w:numPr>
      </w:pPr>
      <w:r>
        <w:t xml:space="preserve">Cloud lands near</w:t>
      </w:r>
      <w:r>
        <w:t xml:space="preserve"> </w:t>
      </w:r>
      <w:r>
        <w:rPr>
          <w:b/>
          <w:bCs/>
        </w:rPr>
        <w:t xml:space="preserve">$22.5 billion</w:t>
      </w:r>
    </w:p>
    <w:p>
      <w:pPr>
        <w:pStyle w:val="Compact"/>
        <w:numPr>
          <w:ilvl w:val="0"/>
          <w:numId w:val="1013"/>
        </w:numPr>
      </w:pPr>
      <w:r>
        <w:t xml:space="preserve">Margins are broadly stable</w:t>
      </w:r>
    </w:p>
    <w:p>
      <w:pPr>
        <w:pStyle w:val="Compact"/>
        <w:numPr>
          <w:ilvl w:val="0"/>
          <w:numId w:val="1013"/>
        </w:numPr>
      </w:pPr>
      <w:r>
        <w:t xml:space="preserve">Capex remains</w:t>
      </w:r>
      <w:r>
        <w:t xml:space="preserve"> </w:t>
      </w:r>
      <m:oMath>
        <m:r>
          <m:t>180</m:t>
        </m:r>
        <m:r>
          <m:rPr>
            <m:sty m:val="p"/>
          </m:rPr>
          <m:t>–</m:t>
        </m:r>
      </m:oMath>
      <w:r>
        <w:t xml:space="preserve">190 billion</w:t>
      </w:r>
    </w:p>
    <w:p>
      <w:pPr>
        <w:pStyle w:val="Compact"/>
        <w:numPr>
          <w:ilvl w:val="0"/>
          <w:numId w:val="1013"/>
        </w:numPr>
      </w:pPr>
      <w:r>
        <w:t xml:space="preserve">Gemini commentary is constructive but nonspecific</w:t>
      </w:r>
    </w:p>
    <w:p>
      <w:pPr>
        <w:pStyle w:val="FirstParagraph"/>
      </w:pPr>
      <w:r>
        <w:t xml:space="preserve">This would be fundamentally solid, although the stock reaction could depend heavily on management’s discussion of 2027 spending.</w:t>
      </w:r>
    </w:p>
    <w:bookmarkEnd w:id="37"/>
    <w:bookmarkStart w:id="38" w:name="bear-case"/>
    <w:p>
      <w:pPr>
        <w:pStyle w:val="Heading3"/>
      </w:pPr>
      <w:r>
        <w:t xml:space="preserve">Bear case</w:t>
      </w:r>
    </w:p>
    <w:p>
      <w:pPr>
        <w:pStyle w:val="Compact"/>
        <w:numPr>
          <w:ilvl w:val="0"/>
          <w:numId w:val="1014"/>
        </w:numPr>
      </w:pPr>
      <w:r>
        <w:t xml:space="preserve">Revenue below</w:t>
      </w:r>
      <w:r>
        <w:t xml:space="preserve"> </w:t>
      </w:r>
      <w:r>
        <w:rPr>
          <w:b/>
          <w:bCs/>
        </w:rPr>
        <w:t xml:space="preserve">$115 billion</w:t>
      </w:r>
    </w:p>
    <w:p>
      <w:pPr>
        <w:pStyle w:val="Compact"/>
        <w:numPr>
          <w:ilvl w:val="0"/>
          <w:numId w:val="1014"/>
        </w:numPr>
      </w:pPr>
      <w:r>
        <w:t xml:space="preserve">Search growth falls toward low double digits</w:t>
      </w:r>
    </w:p>
    <w:p>
      <w:pPr>
        <w:pStyle w:val="Compact"/>
        <w:numPr>
          <w:ilvl w:val="0"/>
          <w:numId w:val="1014"/>
        </w:numPr>
      </w:pPr>
      <w:r>
        <w:t xml:space="preserve">Cloud revenue misses</w:t>
      </w:r>
      <w:r>
        <w:t xml:space="preserve"> </w:t>
      </w:r>
      <w:r>
        <w:rPr>
          <w:b/>
          <w:bCs/>
        </w:rPr>
        <w:t xml:space="preserve">$22 billion</w:t>
      </w:r>
    </w:p>
    <w:p>
      <w:pPr>
        <w:pStyle w:val="Compact"/>
        <w:numPr>
          <w:ilvl w:val="0"/>
          <w:numId w:val="1014"/>
        </w:numPr>
      </w:pPr>
      <w:r>
        <w:t xml:space="preserve">Cloud margin compresses sharply</w:t>
      </w:r>
    </w:p>
    <w:p>
      <w:pPr>
        <w:pStyle w:val="Compact"/>
        <w:numPr>
          <w:ilvl w:val="0"/>
          <w:numId w:val="1014"/>
        </w:numPr>
      </w:pPr>
      <w:r>
        <w:t xml:space="preserve">Capex guidance rises above $190 billion</w:t>
      </w:r>
    </w:p>
    <w:p>
      <w:pPr>
        <w:pStyle w:val="Compact"/>
        <w:numPr>
          <w:ilvl w:val="0"/>
          <w:numId w:val="1014"/>
        </w:numPr>
      </w:pPr>
      <w:r>
        <w:t xml:space="preserve">Backlog growth slows</w:t>
      </w:r>
    </w:p>
    <w:p>
      <w:pPr>
        <w:pStyle w:val="Compact"/>
        <w:numPr>
          <w:ilvl w:val="0"/>
          <w:numId w:val="1014"/>
        </w:numPr>
      </w:pPr>
      <w:r>
        <w:t xml:space="preserve">Management provides no firm flagship-model timeline</w:t>
      </w:r>
    </w:p>
    <w:p>
      <w:pPr>
        <w:pStyle w:val="FirstParagraph"/>
      </w:pPr>
      <w:r>
        <w:t xml:space="preserve">That combination would revive the concern that Alphabet is entering a structurally more capital-intensive business before proving sufficient returns.</w:t>
      </w:r>
    </w:p>
    <w:p>
      <w:r>
        <w:pict>
          <v:rect style="width:0;height:1.5pt" o:hralign="center" o:hrstd="t" o:hr="t"/>
        </w:pict>
      </w:r>
    </w:p>
    <w:bookmarkEnd w:id="38"/>
    <w:bookmarkEnd w:id="39"/>
    <w:bookmarkStart w:id="40" w:name="bottom-line"/>
    <w:p>
      <w:pPr>
        <w:pStyle w:val="Heading2"/>
      </w:pPr>
      <w:r>
        <w:t xml:space="preserve">Bottom line</w:t>
      </w:r>
    </w:p>
    <w:p>
      <w:pPr>
        <w:pStyle w:val="FirstParagraph"/>
      </w:pPr>
      <w:r>
        <w:t xml:space="preserve">Alphabet’s fundamental setup is strong, but expectations are correspondingly high. The quarter is likely to be judged less on whether the company beats the top-line consensus by a billion or two and more on whether the results answer three strategic questions:</w:t>
      </w:r>
    </w:p>
    <w:p>
      <w:pPr>
        <w:pStyle w:val="Compact"/>
        <w:numPr>
          <w:ilvl w:val="0"/>
          <w:numId w:val="1015"/>
        </w:numPr>
      </w:pPr>
      <w:r>
        <w:rPr>
          <w:b/>
          <w:bCs/>
        </w:rPr>
        <w:t xml:space="preserve">Is AI increasing the economic value of Search?</w:t>
      </w:r>
    </w:p>
    <w:p>
      <w:pPr>
        <w:pStyle w:val="Compact"/>
        <w:numPr>
          <w:ilvl w:val="0"/>
          <w:numId w:val="1015"/>
        </w:numPr>
      </w:pPr>
      <w:r>
        <w:rPr>
          <w:b/>
          <w:bCs/>
        </w:rPr>
        <w:t xml:space="preserve">Can Cloud convert enormous demand and backlog into profitable revenue?</w:t>
      </w:r>
    </w:p>
    <w:p>
      <w:pPr>
        <w:pStyle w:val="Compact"/>
        <w:numPr>
          <w:ilvl w:val="0"/>
          <w:numId w:val="1015"/>
        </w:numPr>
      </w:pPr>
      <w:r>
        <w:rPr>
          <w:b/>
          <w:bCs/>
        </w:rPr>
        <w:t xml:space="preserve">Can Alphabet justify an annual capex program approaching $200 billion?</w:t>
      </w:r>
    </w:p>
    <w:p>
      <w:pPr>
        <w:pStyle w:val="FirstParagraph"/>
      </w:pPr>
      <w:r>
        <w:t xml:space="preserve">The cleanest positive signal would be</w:t>
      </w:r>
      <w:r>
        <w:t xml:space="preserve"> </w:t>
      </w:r>
      <w:r>
        <w:rPr>
          <w:b/>
          <w:bCs/>
        </w:rPr>
        <w:t xml:space="preserve">high-teens Search growth, Cloud above $23 billion, stable Cloud profitability, and unchanged capex guidance</w:t>
      </w:r>
      <w:r>
        <w:t xml:space="preserve">. The principal risk is the opposite configuration: slower Cloud or Search growth paired with still-higher spending and uncertain Gemini execution.</w:t>
      </w:r>
    </w:p>
    <w:bookmarkEnd w:id="40"/>
    <w:bookmarkEnd w:id="4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alphabet2025ir.q4web.com/investor/news/news-details/2026/Alphabet-Announces-Date-of-Second-Quarter-2026-Financial-Results-Conference-Call-2026-2h_R0kzZHY/default.aspx" TargetMode="External" /><Relationship Type="http://schemas.openxmlformats.org/officeDocument/2006/relationships/hyperlink" Id="rId14" Target="https://au.finance.yahoo.com/news/strong-search-cloud-growth-drive-165000862.html?utm_source=openai" TargetMode="External" /><Relationship Type="http://schemas.openxmlformats.org/officeDocument/2006/relationships/hyperlink" Id="rId11" Target="https://www.ig.com/en/news-and-trade-ideas/alphabet-q2-2026-earnings-preview-260716" TargetMode="External" /><Relationship Type="http://schemas.openxmlformats.org/officeDocument/2006/relationships/hyperlink" Id="rId25" Target="https://www.investing.com/news/stock-market-news/alphabet-stock-ahead-of-q2-2026-earnings-bull-case-bear-risks-and-valuation-93CH-4800681" TargetMode="External" /><Relationship Type="http://schemas.openxmlformats.org/officeDocument/2006/relationships/hyperlink" Id="rId13" Target="https://www.sec.gov/Archives/edgar/data/1652044/000165204426000043/googexhibit991q12026.htm" TargetMode="External" /><Relationship Type="http://schemas.openxmlformats.org/officeDocument/2006/relationships/hyperlink" Id="rId30" Target="https://www.zacks.com/stock/news/2956210/stay-ahead-of-the-game-with-alphabet-googl-q2-earnings-wall-streets-insights-on-key-metrics?art_rec=blog-fundamental_analysis-up_next-ID01-txt-2956210&amp;utm_source=openai" TargetMode="External" /></Relationships>
</file>

<file path=word/_rels/footnotes.xml.rels><?xml version="1.0" encoding="UTF-8"?><Relationships xmlns="http://schemas.openxmlformats.org/package/2006/relationships"><Relationship Type="http://schemas.openxmlformats.org/officeDocument/2006/relationships/hyperlink" Id="rId9" Target="https://alphabet2025ir.q4web.com/investor/news/news-details/2026/Alphabet-Announces-Date-of-Second-Quarter-2026-Financial-Results-Conference-Call-2026-2h_R0kzZHY/default.aspx" TargetMode="External" /><Relationship Type="http://schemas.openxmlformats.org/officeDocument/2006/relationships/hyperlink" Id="rId14" Target="https://au.finance.yahoo.com/news/strong-search-cloud-growth-drive-165000862.html?utm_source=openai" TargetMode="External" /><Relationship Type="http://schemas.openxmlformats.org/officeDocument/2006/relationships/hyperlink" Id="rId11" Target="https://www.ig.com/en/news-and-trade-ideas/alphabet-q2-2026-earnings-preview-260716" TargetMode="External" /><Relationship Type="http://schemas.openxmlformats.org/officeDocument/2006/relationships/hyperlink" Id="rId25" Target="https://www.investing.com/news/stock-market-news/alphabet-stock-ahead-of-q2-2026-earnings-bull-case-bear-risks-and-valuation-93CH-4800681" TargetMode="External" /><Relationship Type="http://schemas.openxmlformats.org/officeDocument/2006/relationships/hyperlink" Id="rId13" Target="https://www.sec.gov/Archives/edgar/data/1652044/000165204426000043/googexhibit991q12026.htm" TargetMode="External" /><Relationship Type="http://schemas.openxmlformats.org/officeDocument/2006/relationships/hyperlink" Id="rId30" Target="https://www.zacks.com/stock/news/2956210/stay-ahead-of-the-game-with-alphabet-googl-q2-earnings-wall-streets-insights-on-key-metrics?art_rec=blog-fundamental_analysis-up_next-ID01-txt-2956210&amp;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2026-07-22T00:39:38Z</dcterms:created>
  <dcterms:modified xsi:type="dcterms:W3CDTF">2026-07-22T00:39:38Z</dcterms:modified>
</cp:coreProperties>
</file>

<file path=docProps/custom.xml><?xml version="1.0" encoding="utf-8"?>
<Properties xmlns="http://schemas.openxmlformats.org/officeDocument/2006/custom-properties" xmlns:vt="http://schemas.openxmlformats.org/officeDocument/2006/docPropsVTypes"/>
</file>