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lphabet-googl-q2-2026-earnings-preview"/>
    <w:p>
      <w:pPr>
        <w:pStyle w:val="Heading1"/>
      </w:pPr>
      <w:r>
        <w:t xml:space="preserve">Alphabet (GOOGL) Q2 2026 Earnings Preview</w:t>
      </w:r>
    </w:p>
    <w:p>
      <w:pPr>
        <w:pStyle w:val="BlockText"/>
      </w:pPr>
      <w:r>
        <w:rPr>
          <w:b/>
          <w:bCs/>
        </w:rPr>
        <w:t xml:space="preserve">Timing note:</w:t>
      </w:r>
      <w:r>
        <w:t xml:space="preserve"> </w:t>
      </w:r>
      <w:r>
        <w:t xml:space="preserve">The event date provided—</w:t>
      </w:r>
      <w:r>
        <w:rPr>
          <w:b/>
          <w:bCs/>
        </w:rPr>
        <w:t xml:space="preserve">Wednesday, July 22, 2026</w:t>
      </w:r>
      <w:r>
        <w:t xml:space="preserve">—is</w:t>
      </w:r>
      <w:r>
        <w:t xml:space="preserve"> </w:t>
      </w:r>
      <w:r>
        <w:rPr>
          <w:b/>
          <w:bCs/>
        </w:rPr>
        <w:t xml:space="preserve">today</w:t>
      </w:r>
      <w:r>
        <w:t xml:space="preserve">, not tomorrow. This preview assumes Alphabet reports</w:t>
      </w:r>
      <w:r>
        <w:t xml:space="preserve"> </w:t>
      </w:r>
      <w:r>
        <w:rPr>
          <w:b/>
          <w:bCs/>
        </w:rPr>
        <w:t xml:space="preserve">after the U.S. market close today</w:t>
      </w:r>
      <w:r>
        <w:t xml:space="preserve">.</w:t>
      </w:r>
    </w:p>
    <w:bookmarkStart w:id="9" w:name="X776acf8bad7f29674fb66695296d9368d856a06"/>
    <w:p>
      <w:pPr>
        <w:pStyle w:val="Heading2"/>
      </w:pPr>
      <w:r>
        <w:t xml:space="preserve">Investment framing: strong operating momentum, but an increasingly demanding AI proof point</w:t>
      </w:r>
    </w:p>
    <w:p>
      <w:pPr>
        <w:pStyle w:val="FirstParagraph"/>
      </w:pPr>
      <w:r>
        <w:t xml:space="preserve">Alphabet enters Q2 with its core investment case intact: Search remains resilient and monetizable, Cloud is accelerating sharply, and its AI stack—from TPUs through Gemini and enterprise software—is becoming more commercially relevant.</w:t>
      </w:r>
    </w:p>
    <w:p>
      <w:pPr>
        <w:pStyle w:val="BodyText"/>
      </w:pPr>
      <w:r>
        <w:t xml:space="preserve">The central debate is no longer whether Alphabet is participating in AI. It clearly is. The question for this report is whether the company can demonstrate that its very large infrastructure spend is producing a</w:t>
      </w:r>
      <w:r>
        <w:t xml:space="preserve"> </w:t>
      </w:r>
      <w:r>
        <w:rPr>
          <w:b/>
          <w:bCs/>
        </w:rPr>
        <w:t xml:space="preserve">durable return profile</w:t>
      </w:r>
      <w:r>
        <w:t xml:space="preserve"> </w:t>
      </w:r>
      <w:r>
        <w:t xml:space="preserve">across:</w:t>
      </w:r>
    </w:p>
    <w:p>
      <w:pPr>
        <w:pStyle w:val="Compact"/>
        <w:numPr>
          <w:ilvl w:val="0"/>
          <w:numId w:val="1001"/>
        </w:numPr>
      </w:pPr>
      <w:r>
        <w:rPr>
          <w:b/>
          <w:bCs/>
        </w:rPr>
        <w:t xml:space="preserve">Search monetization</w:t>
      </w:r>
      <w:r>
        <w:t xml:space="preserve"> </w:t>
      </w:r>
      <w:r>
        <w:t xml:space="preserve">as AI Mode and AI Overviews change the results page;</w:t>
      </w:r>
    </w:p>
    <w:p>
      <w:pPr>
        <w:pStyle w:val="Compact"/>
        <w:numPr>
          <w:ilvl w:val="0"/>
          <w:numId w:val="1001"/>
        </w:numPr>
      </w:pPr>
      <w:r>
        <w:rPr>
          <w:b/>
          <w:bCs/>
        </w:rPr>
        <w:t xml:space="preserve">Google Cloud growth and backlog conversion</w:t>
      </w:r>
      <w:r>
        <w:t xml:space="preserve">;</w:t>
      </w:r>
    </w:p>
    <w:p>
      <w:pPr>
        <w:pStyle w:val="Compact"/>
        <w:numPr>
          <w:ilvl w:val="0"/>
          <w:numId w:val="1001"/>
        </w:numPr>
      </w:pPr>
      <w:r>
        <w:rPr>
          <w:b/>
          <w:bCs/>
        </w:rPr>
        <w:t xml:space="preserve">Margins and free cash flow</w:t>
      </w:r>
      <w:r>
        <w:t xml:space="preserve"> </w:t>
      </w:r>
      <w:r>
        <w:t xml:space="preserve">despite a rapidly expanding CapEx base; and</w:t>
      </w:r>
    </w:p>
    <w:p>
      <w:pPr>
        <w:pStyle w:val="Compact"/>
        <w:numPr>
          <w:ilvl w:val="0"/>
          <w:numId w:val="1001"/>
        </w:numPr>
      </w:pPr>
      <w:r>
        <w:rPr>
          <w:b/>
          <w:bCs/>
        </w:rPr>
        <w:t xml:space="preserve">Gemini’s competitive positioning</w:t>
      </w:r>
      <w:r>
        <w:t xml:space="preserve">, particularly after reports of delays to the flagship Gemini 3.5 Pro model.</w:t>
      </w:r>
    </w:p>
    <w:p>
      <w:pPr>
        <w:pStyle w:val="FirstParagraph"/>
      </w:pPr>
      <w:r>
        <w:t xml:space="preserve">The stock has already reflected both sides of that debate. GOOGL closed at</w:t>
      </w:r>
      <w:r>
        <w:t xml:space="preserve"> </w:t>
      </w:r>
      <w:r>
        <w:rPr>
          <w:b/>
          <w:bCs/>
        </w:rPr>
        <w:t xml:space="preserve">$347.19 on July 21</w:t>
      </w:r>
      <w:r>
        <w:t xml:space="preserve">, up about</w:t>
      </w:r>
      <w:r>
        <w:t xml:space="preserve"> </w:t>
      </w:r>
      <w:r>
        <w:rPr>
          <w:b/>
          <w:bCs/>
        </w:rPr>
        <w:t xml:space="preserve">10.2% year to date</w:t>
      </w:r>
      <w:r>
        <w:t xml:space="preserve">, but down roughly</w:t>
      </w:r>
      <w:r>
        <w:t xml:space="preserve"> </w:t>
      </w:r>
      <w:r>
        <w:rPr>
          <w:b/>
          <w:bCs/>
        </w:rPr>
        <w:t xml:space="preserve">6.4% from its July 15 close</w:t>
      </w:r>
      <w:r>
        <w:t xml:space="preserve"> </w:t>
      </w:r>
      <w:r>
        <w:t xml:space="preserve">amid concerns around frontier-model competitiveness. The setup therefore appears less about a simple earnings beat/miss and more about whether management can reinforce confidence in the</w:t>
      </w:r>
      <w:r>
        <w:t xml:space="preserve"> </w:t>
      </w:r>
      <w:r>
        <w:rPr>
          <w:b/>
          <w:bCs/>
        </w:rPr>
        <w:t xml:space="preserve">AI return-on-investment trajectory</w:t>
      </w:r>
      <w:r>
        <w:t xml:space="preserve">.</w:t>
      </w:r>
    </w:p>
    <w:p>
      <w:r>
        <w:pict>
          <v:rect style="width:0;height:1.5pt" o:hralign="center" o:hrstd="t" o:hr="t"/>
        </w:pict>
      </w:r>
    </w:p>
    <w:bookmarkEnd w:id="9"/>
    <w:bookmarkStart w:id="10" w:name="X8158cd2b19e0f9b5f6a86b90f51c11149be5957"/>
    <w:p>
      <w:pPr>
        <w:pStyle w:val="Heading2"/>
      </w:pPr>
      <w:r>
        <w:t xml:space="preserve">What Alphabet delivered in Q1—and why it matters for Q2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Q1 2026 metric</w:t>
            </w:r>
          </w:p>
        </w:tc>
        <w:tc>
          <w:tcPr/>
          <w:p>
            <w:pPr>
              <w:pStyle w:val="Compact"/>
              <w:jc w:val="right"/>
            </w:pPr>
            <w:r>
              <w:t xml:space="preserve">Result</w:t>
            </w:r>
          </w:p>
        </w:tc>
        <w:tc>
          <w:tcPr/>
          <w:p>
            <w:pPr>
              <w:pStyle w:val="Compact"/>
            </w:pPr>
            <w:r>
              <w:t xml:space="preserve">Investor takeaway</w:t>
            </w:r>
          </w:p>
        </w:tc>
      </w:tr>
      <w:tr>
        <w:tc>
          <w:tcPr/>
          <w:p>
            <w:pPr>
              <w:pStyle w:val="Compact"/>
            </w:pPr>
            <w:r>
              <w:t xml:space="preserve">Consolidated revenue</w:t>
            </w:r>
          </w:p>
        </w:tc>
        <w:tc>
          <w:tcPr/>
          <w:p>
            <w:pPr>
              <w:pStyle w:val="Compact"/>
              <w:jc w:val="right"/>
            </w:pPr>
            <w:r>
              <w:rPr>
                <w:b/>
                <w:bCs/>
              </w:rPr>
              <w:t xml:space="preserve">$109.9B, +22% YoY</w:t>
            </w:r>
          </w:p>
        </w:tc>
        <w:tc>
          <w:tcPr/>
          <w:p>
            <w:pPr>
              <w:pStyle w:val="Compact"/>
            </w:pPr>
            <w:r>
              <w:t xml:space="preserve">Broad-based momentum and Alphabet’s 11th consecutive quarter of double-digit growth.</w:t>
            </w:r>
          </w:p>
        </w:tc>
      </w:tr>
      <w:tr>
        <w:tc>
          <w:tcPr/>
          <w:p>
            <w:pPr>
              <w:pStyle w:val="Compact"/>
            </w:pPr>
            <w:r>
              <w:t xml:space="preserve">Google Search &amp; other revenue</w:t>
            </w:r>
          </w:p>
        </w:tc>
        <w:tc>
          <w:tcPr/>
          <w:p>
            <w:pPr>
              <w:pStyle w:val="Compact"/>
              <w:jc w:val="right"/>
            </w:pPr>
            <w:r>
              <w:rPr>
                <w:b/>
                <w:bCs/>
              </w:rPr>
              <w:t xml:space="preserve">$60.4B, +19%</w:t>
            </w:r>
          </w:p>
        </w:tc>
        <w:tc>
          <w:tcPr/>
          <w:p>
            <w:pPr>
              <w:pStyle w:val="Compact"/>
            </w:pPr>
            <w:r>
              <w:t xml:space="preserve">Search remained the earnings anchor despite AI-disruption concerns.</w:t>
            </w:r>
          </w:p>
        </w:tc>
      </w:tr>
      <w:tr>
        <w:tc>
          <w:tcPr/>
          <w:p>
            <w:pPr>
              <w:pStyle w:val="Compact"/>
            </w:pPr>
            <w:r>
              <w:t xml:space="preserve">YouTube advertising</w:t>
            </w:r>
          </w:p>
        </w:tc>
        <w:tc>
          <w:tcPr/>
          <w:p>
            <w:pPr>
              <w:pStyle w:val="Compact"/>
              <w:jc w:val="right"/>
            </w:pPr>
            <w:r>
              <w:rPr>
                <w:b/>
                <w:bCs/>
              </w:rPr>
              <w:t xml:space="preserve">$9.9B, +11%</w:t>
            </w:r>
          </w:p>
        </w:tc>
        <w:tc>
          <w:tcPr/>
          <w:p>
            <w:pPr>
              <w:pStyle w:val="Compact"/>
            </w:pPr>
            <w:r>
              <w:t xml:space="preserve">Healthy, though materially slower than Search and Cloud.</w:t>
            </w:r>
          </w:p>
        </w:tc>
      </w:tr>
      <w:tr>
        <w:tc>
          <w:tcPr/>
          <w:p>
            <w:pPr>
              <w:pStyle w:val="Compact"/>
            </w:pPr>
            <w:r>
              <w:t xml:space="preserve">Subscription, Platforms &amp; Devices</w:t>
            </w:r>
          </w:p>
        </w:tc>
        <w:tc>
          <w:tcPr/>
          <w:p>
            <w:pPr>
              <w:pStyle w:val="Compact"/>
              <w:jc w:val="right"/>
            </w:pPr>
            <w:r>
              <w:rPr>
                <w:b/>
                <w:bCs/>
              </w:rPr>
              <w:t xml:space="preserve">$12.4B, +19%</w:t>
            </w:r>
          </w:p>
        </w:tc>
        <w:tc>
          <w:tcPr/>
          <w:p>
            <w:pPr>
              <w:pStyle w:val="Compact"/>
            </w:pPr>
            <w:r>
              <w:t xml:space="preserve">YouTube Premium, Google One and AI plans are becoming a more meaningful diversification lever.</w:t>
            </w:r>
          </w:p>
        </w:tc>
      </w:tr>
      <w:tr>
        <w:tc>
          <w:tcPr/>
          <w:p>
            <w:pPr>
              <w:pStyle w:val="Compact"/>
            </w:pPr>
            <w:r>
              <w:t xml:space="preserve">Google Cloud revenue</w:t>
            </w:r>
          </w:p>
        </w:tc>
        <w:tc>
          <w:tcPr/>
          <w:p>
            <w:pPr>
              <w:pStyle w:val="Compact"/>
              <w:jc w:val="right"/>
            </w:pPr>
            <w:r>
              <w:rPr>
                <w:b/>
                <w:bCs/>
              </w:rPr>
              <w:t xml:space="preserve">$20.0B, +63%</w:t>
            </w:r>
          </w:p>
        </w:tc>
        <w:tc>
          <w:tcPr/>
          <w:p>
            <w:pPr>
              <w:pStyle w:val="Compact"/>
            </w:pPr>
            <w:r>
              <w:t xml:space="preserve">The most important growth engine—and the clearest evidence that AI infrastructure and software demand are commercializing.</w:t>
            </w:r>
          </w:p>
        </w:tc>
      </w:tr>
      <w:tr>
        <w:tc>
          <w:tcPr/>
          <w:p>
            <w:pPr>
              <w:pStyle w:val="Compact"/>
            </w:pPr>
            <w:r>
              <w:t xml:space="preserve">Google Cloud operating margin</w:t>
            </w:r>
          </w:p>
        </w:tc>
        <w:tc>
          <w:tcPr/>
          <w:p>
            <w:pPr>
              <w:pStyle w:val="Compact"/>
              <w:jc w:val="right"/>
            </w:pPr>
            <w:r>
              <w:rPr>
                <w:b/>
                <w:bCs/>
              </w:rPr>
              <w:t xml:space="preserve">32.9%</w:t>
            </w:r>
          </w:p>
        </w:tc>
        <w:tc>
          <w:tcPr/>
          <w:p>
            <w:pPr>
              <w:pStyle w:val="Compact"/>
            </w:pPr>
            <w:r>
              <w:t xml:space="preserve">A major positive surprise: Cloud growth did not come at the expense of profitability.</w:t>
            </w:r>
          </w:p>
        </w:tc>
      </w:tr>
      <w:tr>
        <w:tc>
          <w:tcPr/>
          <w:p>
            <w:pPr>
              <w:pStyle w:val="Compact"/>
            </w:pPr>
            <w:r>
              <w:t xml:space="preserve">Google Cloud backlog</w:t>
            </w:r>
          </w:p>
        </w:tc>
        <w:tc>
          <w:tcPr/>
          <w:p>
            <w:pPr>
              <w:pStyle w:val="Compact"/>
              <w:jc w:val="right"/>
            </w:pPr>
            <w:r>
              <w:rPr>
                <w:b/>
                <w:bCs/>
              </w:rPr>
              <w:t xml:space="preserve">$462B</w:t>
            </w:r>
            <w:r>
              <w:t xml:space="preserve">, nearly doubled sequentially</w:t>
            </w:r>
          </w:p>
        </w:tc>
        <w:tc>
          <w:tcPr/>
          <w:p>
            <w:pPr>
              <w:pStyle w:val="Compact"/>
            </w:pPr>
            <w:r>
              <w:t xml:space="preserve">Supports a multi-year revenue opportunity, although timing, mix and eventual margins matter greatly.</w:t>
            </w:r>
          </w:p>
        </w:tc>
      </w:tr>
      <w:tr>
        <w:tc>
          <w:tcPr/>
          <w:p>
            <w:pPr>
              <w:pStyle w:val="Compact"/>
            </w:pPr>
            <w:r>
              <w:t xml:space="preserve">Quarterly CapEx</w:t>
            </w:r>
          </w:p>
        </w:tc>
        <w:tc>
          <w:tcPr/>
          <w:p>
            <w:pPr>
              <w:pStyle w:val="Compact"/>
              <w:jc w:val="right"/>
            </w:pPr>
            <w:r>
              <w:rPr>
                <w:b/>
                <w:bCs/>
              </w:rPr>
              <w:t xml:space="preserve">$35.7B</w:t>
            </w:r>
          </w:p>
        </w:tc>
        <w:tc>
          <w:tcPr/>
          <w:p>
            <w:pPr>
              <w:pStyle w:val="Compact"/>
            </w:pPr>
            <w:r>
              <w:t xml:space="preserve">The cash-cost and depreciation burden of AI is now a central valuation issue.</w:t>
            </w:r>
          </w:p>
        </w:tc>
      </w:tr>
      <w:tr>
        <w:tc>
          <w:tcPr/>
          <w:p>
            <w:pPr>
              <w:pStyle w:val="Compact"/>
            </w:pPr>
            <w:r>
              <w:t xml:space="preserve">FY2026 CapEx guide</w:t>
            </w:r>
          </w:p>
        </w:tc>
        <w:tc>
          <w:tcPr/>
          <w:p>
            <w:pPr>
              <w:pStyle w:val="Compact"/>
              <w:jc w:val="right"/>
            </w:pPr>
            <m:oMath>
              <m:r>
                <m:t>180</m:t>
              </m:r>
              <m:r>
                <m:t>B</m:t>
              </m:r>
              <m:r>
                <m:rPr>
                  <m:sty m:val="p"/>
                </m:rPr>
                <m:t>–</m:t>
              </m:r>
            </m:oMath>
            <w:r>
              <w:rPr>
                <w:b/>
                <w:bCs/>
              </w:rPr>
              <w:t xml:space="preserve">190B</w:t>
            </w:r>
          </w:p>
        </w:tc>
        <w:tc>
          <w:tcPr/>
          <w:p>
            <w:pPr>
              <w:pStyle w:val="Compact"/>
            </w:pPr>
            <w:r>
              <w:t xml:space="preserve">Management also said 2027 CapEx would increase “significantly” versus 2026.</w:t>
            </w:r>
          </w:p>
        </w:tc>
      </w:tr>
    </w:tbl>
    <w:p>
      <w:pPr>
        <w:pStyle w:val="BodyText"/>
      </w:pPr>
      <w:r>
        <w:t xml:space="preserve">Two qualifications to Q1 are important. First, Q1 benefited from a roughly</w:t>
      </w:r>
      <w:r>
        <w:t xml:space="preserve"> </w:t>
      </w:r>
      <w:r>
        <w:rPr>
          <w:b/>
          <w:bCs/>
        </w:rPr>
        <w:t xml:space="preserve">three-point FX tailwind</w:t>
      </w:r>
      <w:r>
        <w:t xml:space="preserve"> </w:t>
      </w:r>
      <w:r>
        <w:t xml:space="preserve">to consolidated revenue; management expected only about a one-point tailwind in Q2. Second, reported Q1 EPS benefited materially from unrealized gains in nonmarketable securities, making the operating trends—not headline EPS—the more useful basis for assessing Q2.</w:t>
      </w:r>
    </w:p>
    <w:p>
      <w:r>
        <w:pict>
          <v:rect style="width:0;height:1.5pt" o:hralign="center" o:hrstd="t" o:hr="t"/>
        </w:pict>
      </w:r>
    </w:p>
    <w:bookmarkEnd w:id="10"/>
    <w:bookmarkStart w:id="11" w:name="X885083fd0d0dddadb257cbdbb296e8630afe083"/>
    <w:p>
      <w:pPr>
        <w:pStyle w:val="Heading2"/>
      </w:pPr>
      <w:r>
        <w:t xml:space="preserve">The four issues that will determine the reaction</w:t>
      </w:r>
    </w:p>
    <w:bookmarkEnd w:id="11"/>
    <w:bookmarkStart w:id="14" w:name="Xf38be9f1eaea263cd70b8314b317245267fbb90"/>
    <w:p>
      <w:pPr>
        <w:pStyle w:val="Heading2"/>
      </w:pPr>
      <w:r>
        <w:t xml:space="preserve">1. Search: can AI expand usage</w:t>
      </w:r>
      <w:r>
        <w:t xml:space="preserve"> </w:t>
      </w:r>
      <w:r>
        <w:rPr>
          <w:i/>
          <w:iCs/>
        </w:rPr>
        <w:t xml:space="preserve">and</w:t>
      </w:r>
      <w:r>
        <w:t xml:space="preserve"> </w:t>
      </w:r>
      <w:r>
        <w:t xml:space="preserve">preserve or improve monetization?</w:t>
      </w:r>
    </w:p>
    <w:p>
      <w:pPr>
        <w:pStyle w:val="FirstParagraph"/>
      </w:pPr>
      <w:r>
        <w:t xml:space="preserve">Search delivered 19% growth in Q1, driven particularly by retail and financial-services advertising. Management’s message was emphatic: AI Overviews and AI Mode are increasing query activity, including commercial activity, rather than cannibalizing traditional Search.</w:t>
      </w:r>
    </w:p>
    <w:p>
      <w:pPr>
        <w:pStyle w:val="BodyText"/>
      </w:pPr>
      <w:r>
        <w:t xml:space="preserve">For Q2, investors should focus on whether management provides further evidence that this is translating into revenue—not just engagement.</w:t>
      </w:r>
    </w:p>
    <w:bookmarkStart w:id="12" w:name="what-to-watch"/>
    <w:p>
      <w:pPr>
        <w:pStyle w:val="Heading3"/>
      </w:pPr>
      <w:r>
        <w:t xml:space="preserve">What to watch</w:t>
      </w:r>
    </w:p>
    <w:p>
      <w:pPr>
        <w:pStyle w:val="Compact"/>
        <w:numPr>
          <w:ilvl w:val="0"/>
          <w:numId w:val="1002"/>
        </w:numPr>
      </w:pPr>
      <w:r>
        <w:rPr>
          <w:b/>
          <w:bCs/>
        </w:rPr>
        <w:t xml:space="preserve">Google Search &amp; other revenue growth</w:t>
      </w:r>
      <w:r>
        <w:t xml:space="preserve"> </w:t>
      </w:r>
      <w:r>
        <w:t xml:space="preserve">and commentary by advertising vertical.</w:t>
      </w:r>
    </w:p>
    <w:p>
      <w:pPr>
        <w:pStyle w:val="Compact"/>
        <w:numPr>
          <w:ilvl w:val="0"/>
          <w:numId w:val="1002"/>
        </w:numPr>
      </w:pPr>
      <w:r>
        <w:t xml:space="preserve">Evidence that AI Mode, AI Overviews, Lens, and more conversational queries are expanding commercial intent.</w:t>
      </w:r>
    </w:p>
    <w:p>
      <w:pPr>
        <w:pStyle w:val="Compact"/>
        <w:numPr>
          <w:ilvl w:val="0"/>
          <w:numId w:val="1002"/>
        </w:numPr>
      </w:pPr>
      <w:r>
        <w:t xml:space="preserve">Adoption and performance of</w:t>
      </w:r>
      <w:r>
        <w:t xml:space="preserve"> </w:t>
      </w:r>
      <w:r>
        <w:rPr>
          <w:b/>
          <w:bCs/>
        </w:rPr>
        <w:t xml:space="preserve">AI Max</w:t>
      </w:r>
      <w:r>
        <w:t xml:space="preserve"> </w:t>
      </w:r>
      <w:r>
        <w:t xml:space="preserve">and Performance Max tools.</w:t>
      </w:r>
    </w:p>
    <w:p>
      <w:pPr>
        <w:pStyle w:val="Compact"/>
        <w:numPr>
          <w:ilvl w:val="0"/>
          <w:numId w:val="1002"/>
        </w:numPr>
      </w:pPr>
      <w:r>
        <w:t xml:space="preserve">Progress in monetizing AI experiences, including direct offers, retail ad formats, and agentic-commerce checkout.</w:t>
      </w:r>
    </w:p>
    <w:p>
      <w:pPr>
        <w:pStyle w:val="Compact"/>
        <w:numPr>
          <w:ilvl w:val="0"/>
          <w:numId w:val="1002"/>
        </w:numPr>
      </w:pPr>
      <w:r>
        <w:t xml:space="preserve">Any updated commentary on ad coverage—the portion of queries that can be monetized—and pricing.</w:t>
      </w:r>
    </w:p>
    <w:bookmarkEnd w:id="12"/>
    <w:bookmarkStart w:id="13" w:name="why-it-matters"/>
    <w:p>
      <w:pPr>
        <w:pStyle w:val="Heading3"/>
      </w:pPr>
      <w:r>
        <w:t xml:space="preserve">Why it matters</w:t>
      </w:r>
    </w:p>
    <w:p>
      <w:pPr>
        <w:pStyle w:val="FirstParagraph"/>
      </w:pPr>
      <w:r>
        <w:t xml:space="preserve">The bullish interpretation is that AI lets Google understand longer, more complex user queries and match advertisers more effectively, expanding the addressable pool of commercial searches. The bear case is that AI answers reduce clicks, complicate attribution, or create a structurally less monetizable search experience.</w:t>
      </w:r>
    </w:p>
    <w:p>
      <w:pPr>
        <w:pStyle w:val="BodyText"/>
      </w:pPr>
      <w:r>
        <w:t xml:space="preserve">Q2 needs to support the former narrative with concrete business indicators.</w:t>
      </w:r>
    </w:p>
    <w:p>
      <w:r>
        <w:pict>
          <v:rect style="width:0;height:1.5pt" o:hralign="center" o:hrstd="t" o:hr="t"/>
        </w:pict>
      </w:r>
    </w:p>
    <w:bookmarkEnd w:id="13"/>
    <w:bookmarkEnd w:id="14"/>
    <w:bookmarkStart w:id="16" w:name="X321f896bdc8245a0096e2da3e2a08ca7fe178f6"/>
    <w:p>
      <w:pPr>
        <w:pStyle w:val="Heading2"/>
      </w:pPr>
      <w:r>
        <w:t xml:space="preserve">2. Cloud: growth, capacity, backlog conversion, and margins must all hold together</w:t>
      </w:r>
    </w:p>
    <w:p>
      <w:pPr>
        <w:pStyle w:val="FirstParagraph"/>
      </w:pPr>
      <w:r>
        <w:t xml:space="preserve">Cloud is the report’s most consequential segment. In Q1, revenue accelerated 63%, operating income tripled to $6.6 billion, and backlog reached $462 billion. Management said enterprise AI solutions had become Cloud’s primary growth driver, while also acknowledging that capacity constraints prevented it from satisfying all demand.</w:t>
      </w:r>
    </w:p>
    <w:p>
      <w:pPr>
        <w:pStyle w:val="BodyText"/>
      </w:pPr>
      <w:r>
        <w:t xml:space="preserve">That creates an unusually attractive—but demanding—setup:</w:t>
      </w:r>
    </w:p>
    <w:p>
      <w:pPr>
        <w:pStyle w:val="Compact"/>
        <w:numPr>
          <w:ilvl w:val="0"/>
          <w:numId w:val="1003"/>
        </w:numPr>
      </w:pPr>
      <w:r>
        <w:rPr>
          <w:b/>
          <w:bCs/>
        </w:rPr>
        <w:t xml:space="preserve">Bullish:</w:t>
      </w:r>
      <w:r>
        <w:t xml:space="preserve"> </w:t>
      </w:r>
      <w:r>
        <w:t xml:space="preserve">demand exceeds available capacity, backlog provides long-duration visibility, and Cloud margins are already expanding.</w:t>
      </w:r>
    </w:p>
    <w:p>
      <w:pPr>
        <w:pStyle w:val="Compact"/>
        <w:numPr>
          <w:ilvl w:val="0"/>
          <w:numId w:val="1003"/>
        </w:numPr>
      </w:pPr>
      <w:r>
        <w:rPr>
          <w:b/>
          <w:bCs/>
        </w:rPr>
        <w:t xml:space="preserve">Risk:</w:t>
      </w:r>
      <w:r>
        <w:t xml:space="preserve"> </w:t>
      </w:r>
      <w:r>
        <w:t xml:space="preserve">a large backlog can include contracts with varied revenue-recognition schedules, hardware mix, and economics. Investors will want proof that the backlog turns into high-quality revenue rather than merely requiring more capital.</w:t>
      </w:r>
    </w:p>
    <w:bookmarkStart w:id="15" w:name="what-to-watch-1"/>
    <w:p>
      <w:pPr>
        <w:pStyle w:val="Heading3"/>
      </w:pPr>
      <w:r>
        <w:t xml:space="preserve">What to watch</w:t>
      </w:r>
    </w:p>
    <w:p>
      <w:pPr>
        <w:pStyle w:val="Compact"/>
        <w:numPr>
          <w:ilvl w:val="0"/>
          <w:numId w:val="1004"/>
        </w:numPr>
      </w:pPr>
      <w:r>
        <w:t xml:space="preserve">Cloud revenue growth relative to Q1’s 63%.</w:t>
      </w:r>
    </w:p>
    <w:p>
      <w:pPr>
        <w:pStyle w:val="Compact"/>
        <w:numPr>
          <w:ilvl w:val="0"/>
          <w:numId w:val="1004"/>
        </w:numPr>
      </w:pPr>
      <w:r>
        <w:t xml:space="preserve">Commentary on capacity availability and demand constraints.</w:t>
      </w:r>
    </w:p>
    <w:p>
      <w:pPr>
        <w:pStyle w:val="Compact"/>
        <w:numPr>
          <w:ilvl w:val="0"/>
          <w:numId w:val="1004"/>
        </w:numPr>
      </w:pPr>
      <w:r>
        <w:t xml:space="preserve">The conversion cadence of the $462 billion backlog; management previously said just over half should be recognized as revenue over the following 24 months.</w:t>
      </w:r>
    </w:p>
    <w:p>
      <w:pPr>
        <w:pStyle w:val="Compact"/>
        <w:numPr>
          <w:ilvl w:val="0"/>
          <w:numId w:val="1004"/>
        </w:numPr>
      </w:pPr>
      <w:r>
        <w:t xml:space="preserve">Cloud operating margin, including the expected low-single-digit margin headwind from Wiz.</w:t>
      </w:r>
    </w:p>
    <w:p>
      <w:pPr>
        <w:pStyle w:val="Compact"/>
        <w:numPr>
          <w:ilvl w:val="0"/>
          <w:numId w:val="1004"/>
        </w:numPr>
      </w:pPr>
      <w:r>
        <w:t xml:space="preserve">Updates on large AI contracts, Gemini Enterprise paid users, TPU/GPU utilization, and enterprise AI adoption.</w:t>
      </w:r>
    </w:p>
    <w:p>
      <w:pPr>
        <w:pStyle w:val="Compact"/>
        <w:numPr>
          <w:ilvl w:val="0"/>
          <w:numId w:val="1004"/>
        </w:numPr>
      </w:pPr>
      <w:r>
        <w:t xml:space="preserve">Details on TPU hardware sales: these could enhance revenue growth but are likely to produce uneven quarterly recognition and potentially a different margin profile than recurring cloud services.</w:t>
      </w:r>
    </w:p>
    <w:p>
      <w:pPr>
        <w:pStyle w:val="FirstParagraph"/>
      </w:pPr>
      <w:r>
        <w:t xml:space="preserve">A sustained Cloud growth rate near recent levels, with stable-to-improving margins, would be the clearest fundamental positive for the shares.</w:t>
      </w:r>
    </w:p>
    <w:p>
      <w:r>
        <w:pict>
          <v:rect style="width:0;height:1.5pt" o:hralign="center" o:hrstd="t" o:hr="t"/>
        </w:pict>
      </w:r>
    </w:p>
    <w:bookmarkEnd w:id="15"/>
    <w:bookmarkEnd w:id="16"/>
    <w:bookmarkStart w:id="18" w:name="X34c1f245ad9a436edf0e55e65223f5d2494db75"/>
    <w:p>
      <w:pPr>
        <w:pStyle w:val="Heading2"/>
      </w:pPr>
      <w:r>
        <w:t xml:space="preserve">3. CapEx: investors need a better bridge from spending to returns</w:t>
      </w:r>
    </w:p>
    <w:p>
      <w:pPr>
        <w:pStyle w:val="FirstParagraph"/>
      </w:pPr>
      <w:r>
        <w:t xml:space="preserve">Alphabet spent $35.7 billion on CapEx in Q1 and raised its FY2026 outlook to</w:t>
      </w:r>
      <w:r>
        <w:t xml:space="preserve"> </w:t>
      </w:r>
      <m:oMath>
        <m:r>
          <m:t>180</m:t>
        </m:r>
        <m:r>
          <m:t>b</m:t>
        </m:r>
        <m:r>
          <m:t>i</m:t>
        </m:r>
        <m:r>
          <m:t>l</m:t>
        </m:r>
        <m:r>
          <m:t>l</m:t>
        </m:r>
        <m:r>
          <m:t>i</m:t>
        </m:r>
        <m:r>
          <m:t>o</m:t>
        </m:r>
        <m:r>
          <m:t>n</m:t>
        </m:r>
        <m:r>
          <m:rPr>
            <m:sty m:val="p"/>
          </m:rPr>
          <m:t>–</m:t>
        </m:r>
      </m:oMath>
      <w:r>
        <w:t xml:space="preserve">190 billion. It also pre-announced that 2027 CapEx would be “significantly” higher. The company’s stated rationale is demand: internal product needs, Cloud capacity, enterprise AI, and frontier-model development.</w:t>
      </w:r>
    </w:p>
    <w:p>
      <w:pPr>
        <w:pStyle w:val="BodyText"/>
      </w:pPr>
      <w:r>
        <w:t xml:space="preserve">The key issue is not whether Alphabet can afford the investment. With its balance sheet and operating cash generation, it can. The issue is whether the company can credibly show that the incremental capital is being deployed at attractive returns.</w:t>
      </w:r>
    </w:p>
    <w:bookmarkStart w:id="17" w:name="what-to-watch-2"/>
    <w:p>
      <w:pPr>
        <w:pStyle w:val="Heading3"/>
      </w:pPr>
      <w:r>
        <w:t xml:space="preserve">What to watch</w:t>
      </w:r>
    </w:p>
    <w:p>
      <w:pPr>
        <w:pStyle w:val="Compact"/>
        <w:numPr>
          <w:ilvl w:val="0"/>
          <w:numId w:val="1005"/>
        </w:numPr>
      </w:pPr>
      <w:r>
        <w:t xml:space="preserve">Any change to FY2026 CapEx guidance.</w:t>
      </w:r>
    </w:p>
    <w:p>
      <w:pPr>
        <w:pStyle w:val="Compact"/>
        <w:numPr>
          <w:ilvl w:val="0"/>
          <w:numId w:val="1005"/>
        </w:numPr>
      </w:pPr>
      <w:r>
        <w:t xml:space="preserve">The relative mix of</w:t>
      </w:r>
      <w:r>
        <w:t xml:space="preserve"> </w:t>
      </w:r>
      <w:r>
        <w:rPr>
          <w:b/>
          <w:bCs/>
        </w:rPr>
        <w:t xml:space="preserve">servers versus data centers/networking</w:t>
      </w:r>
      <w:r>
        <w:t xml:space="preserve">.</w:t>
      </w:r>
    </w:p>
    <w:p>
      <w:pPr>
        <w:pStyle w:val="Compact"/>
        <w:numPr>
          <w:ilvl w:val="0"/>
          <w:numId w:val="1005"/>
        </w:numPr>
      </w:pPr>
      <w:r>
        <w:t xml:space="preserve">Depreciation, energy, and data-center operating-cost commentary.</w:t>
      </w:r>
    </w:p>
    <w:p>
      <w:pPr>
        <w:pStyle w:val="Compact"/>
        <w:numPr>
          <w:ilvl w:val="0"/>
          <w:numId w:val="1005"/>
        </w:numPr>
      </w:pPr>
      <w:r>
        <w:t xml:space="preserve">Free-cash-flow trajectory.</w:t>
      </w:r>
    </w:p>
    <w:p>
      <w:pPr>
        <w:pStyle w:val="Compact"/>
        <w:numPr>
          <w:ilvl w:val="0"/>
          <w:numId w:val="1005"/>
        </w:numPr>
      </w:pPr>
      <w:r>
        <w:t xml:space="preserve">Management’s explanation of compute allocation between Gemini/model development, Search, Cloud customers, and TPU hardware sales.</w:t>
      </w:r>
    </w:p>
    <w:p>
      <w:pPr>
        <w:pStyle w:val="Compact"/>
        <w:numPr>
          <w:ilvl w:val="0"/>
          <w:numId w:val="1005"/>
        </w:numPr>
      </w:pPr>
      <w:r>
        <w:t xml:space="preserve">Whether management can quantify capacity-constrained revenue or returns from recent infrastructure investments.</w:t>
      </w:r>
    </w:p>
    <w:p>
      <w:pPr>
        <w:pStyle w:val="FirstParagraph"/>
      </w:pPr>
      <w:r>
        <w:t xml:space="preserve">The most constructive outcome would be unchanged CapEx guidance, strong Cloud growth, and a clearer explanation that capacity expansion is being governed by demand signals and return thresholds. A higher spending outlook without incremental evidence of monetization would likely be received less favorably.</w:t>
      </w:r>
    </w:p>
    <w:p>
      <w:r>
        <w:pict>
          <v:rect style="width:0;height:1.5pt" o:hralign="center" o:hrstd="t" o:hr="t"/>
        </w:pict>
      </w:r>
    </w:p>
    <w:bookmarkEnd w:id="17"/>
    <w:bookmarkEnd w:id="18"/>
    <w:bookmarkStart w:id="20" w:name="X4d4b7c94df4fde4ec4dd1e1b6cee4ffb339c309"/>
    <w:p>
      <w:pPr>
        <w:pStyle w:val="Heading2"/>
      </w:pPr>
      <w:r>
        <w:t xml:space="preserve">4. Gemini: product competitiveness has become a near-term sentiment variable</w:t>
      </w:r>
    </w:p>
    <w:p>
      <w:pPr>
        <w:pStyle w:val="FirstParagraph"/>
      </w:pPr>
      <w:r>
        <w:t xml:space="preserve">Alphabet recently released Gemini 3.6 Flash, 3.5 Flash-Lite, and a cybersecurity-focused Flash Cyber model, emphasizing efficiency and lower token usage. However, the anticipated Gemini 3.5 Pro release remains in testing following reports that the model did not initially meet internal performance targets in areas including coding.</w:t>
      </w:r>
    </w:p>
    <w:p>
      <w:pPr>
        <w:pStyle w:val="BodyText"/>
      </w:pPr>
      <w:r>
        <w:t xml:space="preserve">This may not alter the near-term earnings model directly, but it matters for the broader narrative:</w:t>
      </w:r>
    </w:p>
    <w:p>
      <w:pPr>
        <w:pStyle w:val="Compact"/>
        <w:numPr>
          <w:ilvl w:val="0"/>
          <w:numId w:val="1006"/>
        </w:numPr>
      </w:pPr>
      <w:r>
        <w:t xml:space="preserve">Gemini model quality influences Google Cloud’s competitiveness in enterprise AI.</w:t>
      </w:r>
    </w:p>
    <w:p>
      <w:pPr>
        <w:pStyle w:val="Compact"/>
        <w:numPr>
          <w:ilvl w:val="0"/>
          <w:numId w:val="1006"/>
        </w:numPr>
      </w:pPr>
      <w:r>
        <w:t xml:space="preserve">It supports product differentiation in Search, Workspace, YouTube, Android, and the Gemini app.</w:t>
      </w:r>
    </w:p>
    <w:p>
      <w:pPr>
        <w:pStyle w:val="Compact"/>
        <w:numPr>
          <w:ilvl w:val="0"/>
          <w:numId w:val="1006"/>
        </w:numPr>
      </w:pPr>
      <w:r>
        <w:t xml:space="preserve">It affects the market’s willingness to underwrite Alphabet’s rapidly rising AI capital intensity.</w:t>
      </w:r>
    </w:p>
    <w:bookmarkStart w:id="19" w:name="what-to-watch-3"/>
    <w:p>
      <w:pPr>
        <w:pStyle w:val="Heading3"/>
      </w:pPr>
      <w:r>
        <w:t xml:space="preserve">What to watch</w:t>
      </w:r>
    </w:p>
    <w:p>
      <w:pPr>
        <w:pStyle w:val="Compact"/>
        <w:numPr>
          <w:ilvl w:val="0"/>
          <w:numId w:val="1007"/>
        </w:numPr>
      </w:pPr>
      <w:r>
        <w:t xml:space="preserve">A specific timeline or qualitative update on</w:t>
      </w:r>
      <w:r>
        <w:t xml:space="preserve"> </w:t>
      </w:r>
      <w:r>
        <w:rPr>
          <w:b/>
          <w:bCs/>
        </w:rPr>
        <w:t xml:space="preserve">Gemini 3.5 Pro</w:t>
      </w:r>
      <w:r>
        <w:t xml:space="preserve">.</w:t>
      </w:r>
    </w:p>
    <w:p>
      <w:pPr>
        <w:pStyle w:val="Compact"/>
        <w:numPr>
          <w:ilvl w:val="0"/>
          <w:numId w:val="1007"/>
        </w:numPr>
      </w:pPr>
      <w:r>
        <w:t xml:space="preserve">Evidence of Gemini Enterprise adoption, paid-user growth, and token consumption.</w:t>
      </w:r>
    </w:p>
    <w:p>
      <w:pPr>
        <w:pStyle w:val="Compact"/>
        <w:numPr>
          <w:ilvl w:val="0"/>
          <w:numId w:val="1007"/>
        </w:numPr>
      </w:pPr>
      <w:r>
        <w:t xml:space="preserve">Management’s willingness to discuss model benchmarks, coding capabilities, cost efficiency, and distribution advantages.</w:t>
      </w:r>
    </w:p>
    <w:p>
      <w:pPr>
        <w:pStyle w:val="Compact"/>
        <w:numPr>
          <w:ilvl w:val="0"/>
          <w:numId w:val="1007"/>
        </w:numPr>
      </w:pPr>
      <w:r>
        <w:t xml:space="preserve">Whether the discussion shifts toward the next-generation Gemini 4 training cycle without resolving the nearer-term 3.5 Pro question.</w:t>
      </w:r>
    </w:p>
    <w:p>
      <w:pPr>
        <w:pStyle w:val="FirstParagraph"/>
      </w:pPr>
      <w:r>
        <w:t xml:space="preserve">A credible response would emphasize that Alphabet can monetize both frontier and cost-efficient models through its distribution, Cloud footprint, proprietary TPU economics, and consumer products. Still, investors are likely to seek tangible proof rather than broad strategic statements.</w:t>
      </w:r>
    </w:p>
    <w:p>
      <w:r>
        <w:pict>
          <v:rect style="width:0;height:1.5pt" o:hralign="center" o:hrstd="t" o:hr="t"/>
        </w:pict>
      </w:r>
    </w:p>
    <w:bookmarkEnd w:id="19"/>
    <w:bookmarkEnd w:id="20"/>
    <w:bookmarkStart w:id="24" w:name="additional-items-worth-monitoring"/>
    <w:p>
      <w:pPr>
        <w:pStyle w:val="Heading2"/>
      </w:pPr>
      <w:r>
        <w:t xml:space="preserve">Additional items worth monitoring</w:t>
      </w:r>
    </w:p>
    <w:bookmarkStart w:id="21" w:name="youtube-and-subscriptions"/>
    <w:p>
      <w:pPr>
        <w:pStyle w:val="Heading3"/>
      </w:pPr>
      <w:r>
        <w:t xml:space="preserve">YouTube and subscriptions</w:t>
      </w:r>
    </w:p>
    <w:p>
      <w:pPr>
        <w:pStyle w:val="FirstParagraph"/>
      </w:pPr>
      <w:r>
        <w:t xml:space="preserve">YouTube advertising grew 11% in Q1, while subscription revenue continued to outgrow advertising. Q2 will help determine whether YouTube’s ad business can reaccelerate through connected-TV, Shorts, creator partnerships, and demand-generation products—or whether subscriptions are doing more of the incremental growth work.</w:t>
      </w:r>
    </w:p>
    <w:bookmarkEnd w:id="21"/>
    <w:bookmarkStart w:id="22" w:name="waymo-and-other-bets"/>
    <w:p>
      <w:pPr>
        <w:pStyle w:val="Heading3"/>
      </w:pPr>
      <w:r>
        <w:t xml:space="preserve">Waymo and Other Bets</w:t>
      </w:r>
    </w:p>
    <w:p>
      <w:pPr>
        <w:pStyle w:val="FirstParagraph"/>
      </w:pPr>
      <w:r>
        <w:t xml:space="preserve">Waymo surpassed 500,000 fully autonomous rides per week in Q1 and continues expanding into additional U.S. cities. It is strategically valuable, but near-term investors will primarily view it through the lens of Other Bets losses and capital allocation rather than as a principal Q2 earnings driver.</w:t>
      </w:r>
    </w:p>
    <w:bookmarkEnd w:id="22"/>
    <w:bookmarkStart w:id="23" w:name="regulation-and-legal-risk"/>
    <w:p>
      <w:pPr>
        <w:pStyle w:val="Heading3"/>
      </w:pPr>
      <w:r>
        <w:t xml:space="preserve">Regulation and legal risk</w:t>
      </w:r>
    </w:p>
    <w:p>
      <w:pPr>
        <w:pStyle w:val="FirstParagraph"/>
      </w:pPr>
      <w:r>
        <w:t xml:space="preserve">The report may draw questions on European actions affecting Android AI-assistant access and Search data, scrutiny of AI Overviews in Europe, and new copyright litigation related to AI training data. These are unlikely to drive the quarter’s financial outcome, but they raise the medium-term cost and execution risk around AI product deployment.</w:t>
      </w:r>
    </w:p>
    <w:p>
      <w:r>
        <w:pict>
          <v:rect style="width:0;height:1.5pt" o:hralign="center" o:hrstd="t" o:hr="t"/>
        </w:pict>
      </w:r>
    </w:p>
    <w:bookmarkEnd w:id="23"/>
    <w:bookmarkEnd w:id="24"/>
    <w:bookmarkStart w:id="25" w:name="questions-management-needs-to-answer"/>
    <w:p>
      <w:pPr>
        <w:pStyle w:val="Heading2"/>
      </w:pPr>
      <w:r>
        <w:t xml:space="preserve">Questions management needs to answer</w:t>
      </w:r>
    </w:p>
    <w:p>
      <w:pPr>
        <w:pStyle w:val="Compact"/>
        <w:numPr>
          <w:ilvl w:val="0"/>
          <w:numId w:val="1008"/>
        </w:numPr>
      </w:pPr>
      <w:r>
        <w:rPr>
          <w:b/>
          <w:bCs/>
        </w:rPr>
        <w:t xml:space="preserve">Is Search growth still broad-based in Q2, and are AI experiences increasing commercial-query monetization?</w:t>
      </w:r>
    </w:p>
    <w:p>
      <w:pPr>
        <w:pStyle w:val="Compact"/>
        <w:numPr>
          <w:ilvl w:val="0"/>
          <w:numId w:val="1008"/>
        </w:numPr>
      </w:pPr>
      <w:r>
        <w:rPr>
          <w:b/>
          <w:bCs/>
        </w:rPr>
        <w:t xml:space="preserve">Did Google Cloud maintain elevated growth despite capacity constraints?</w:t>
      </w:r>
    </w:p>
    <w:p>
      <w:pPr>
        <w:pStyle w:val="Compact"/>
        <w:numPr>
          <w:ilvl w:val="0"/>
          <w:numId w:val="1008"/>
        </w:numPr>
      </w:pPr>
      <w:r>
        <w:rPr>
          <w:b/>
          <w:bCs/>
        </w:rPr>
        <w:t xml:space="preserve">How much of Cloud’s backlog is recurring GCP/AI-services demand versus TPU hardware commitments?</w:t>
      </w:r>
    </w:p>
    <w:p>
      <w:pPr>
        <w:pStyle w:val="Compact"/>
        <w:numPr>
          <w:ilvl w:val="0"/>
          <w:numId w:val="1008"/>
        </w:numPr>
      </w:pPr>
      <w:r>
        <w:rPr>
          <w:b/>
          <w:bCs/>
        </w:rPr>
        <w:t xml:space="preserve">Can Cloud margins remain resilient as Wiz is integrated and infrastructure depreciation rises?</w:t>
      </w:r>
    </w:p>
    <w:p>
      <w:pPr>
        <w:pStyle w:val="Compact"/>
        <w:numPr>
          <w:ilvl w:val="0"/>
          <w:numId w:val="1008"/>
        </w:numPr>
      </w:pPr>
      <w:r>
        <w:rPr>
          <w:b/>
          <w:bCs/>
        </w:rPr>
        <w:t xml:space="preserve">Does FY2026 CapEx remain within the</w:t>
      </w:r>
      <w:r>
        <w:rPr>
          <w:b/>
          <w:bCs/>
        </w:rPr>
        <w:t xml:space="preserve"> </w:t>
      </w:r>
      <m:oMath>
        <m:r>
          <m:t>180</m:t>
        </m:r>
        <m:r>
          <m:t>B</m:t>
        </m:r>
        <m:r>
          <m:rPr>
            <m:sty m:val="p"/>
          </m:rPr>
          <m:t>–</m:t>
        </m:r>
      </m:oMath>
      <w:r>
        <w:rPr>
          <w:b/>
          <w:bCs/>
        </w:rPr>
        <w:t xml:space="preserve">190B range?</w:t>
      </w:r>
    </w:p>
    <w:p>
      <w:pPr>
        <w:pStyle w:val="Compact"/>
        <w:numPr>
          <w:ilvl w:val="0"/>
          <w:numId w:val="1008"/>
        </w:numPr>
      </w:pPr>
      <w:r>
        <w:rPr>
          <w:b/>
          <w:bCs/>
        </w:rPr>
        <w:t xml:space="preserve">What is the path to a return on the 2026–2027 AI infrastructure buildout?</w:t>
      </w:r>
    </w:p>
    <w:p>
      <w:pPr>
        <w:pStyle w:val="Compact"/>
        <w:numPr>
          <w:ilvl w:val="0"/>
          <w:numId w:val="1008"/>
        </w:numPr>
      </w:pPr>
      <w:r>
        <w:rPr>
          <w:b/>
          <w:bCs/>
        </w:rPr>
        <w:t xml:space="preserve">When will Gemini 3.5 Pro be broadly available, and how does Google assess its frontier-model position?</w:t>
      </w:r>
    </w:p>
    <w:p>
      <w:pPr>
        <w:pStyle w:val="Compact"/>
        <w:numPr>
          <w:ilvl w:val="0"/>
          <w:numId w:val="1008"/>
        </w:numPr>
      </w:pPr>
      <w:r>
        <w:rPr>
          <w:b/>
          <w:bCs/>
        </w:rPr>
        <w:t xml:space="preserve">What are the next monetization steps for AI Mode, AI Overviews, and potentially the Gemini app?</w:t>
      </w:r>
    </w:p>
    <w:p>
      <w:r>
        <w:pict>
          <v:rect style="width:0;height:1.5pt" o:hralign="center" o:hrstd="t" o:hr="t"/>
        </w:pict>
      </w:r>
    </w:p>
    <w:bookmarkEnd w:id="25"/>
    <w:bookmarkStart w:id="29" w:name="scenario-framework"/>
    <w:p>
      <w:pPr>
        <w:pStyle w:val="Heading2"/>
      </w:pPr>
      <w:r>
        <w:t xml:space="preserve">Scenario framework</w:t>
      </w:r>
    </w:p>
    <w:bookmarkStart w:id="26" w:name="bull-case"/>
    <w:p>
      <w:pPr>
        <w:pStyle w:val="Heading3"/>
      </w:pPr>
      <w:r>
        <w:t xml:space="preserve">Bull case</w:t>
      </w:r>
    </w:p>
    <w:p>
      <w:pPr>
        <w:pStyle w:val="Compact"/>
        <w:numPr>
          <w:ilvl w:val="0"/>
          <w:numId w:val="1009"/>
        </w:numPr>
      </w:pPr>
      <w:r>
        <w:t xml:space="preserve">Search growth remains high-teens or better, supported by AI-enhanced commercial queries and advertiser tools.</w:t>
      </w:r>
    </w:p>
    <w:p>
      <w:pPr>
        <w:pStyle w:val="Compact"/>
        <w:numPr>
          <w:ilvl w:val="0"/>
          <w:numId w:val="1009"/>
        </w:numPr>
      </w:pPr>
      <w:r>
        <w:t xml:space="preserve">Cloud growth remains exceptionally strong, backlog conversion commentary is favorable, and margins hold up.</w:t>
      </w:r>
    </w:p>
    <w:p>
      <w:pPr>
        <w:pStyle w:val="Compact"/>
        <w:numPr>
          <w:ilvl w:val="0"/>
          <w:numId w:val="1009"/>
        </w:numPr>
      </w:pPr>
      <w:r>
        <w:t xml:space="preserve">CapEx guidance is maintained rather than raised.</w:t>
      </w:r>
    </w:p>
    <w:p>
      <w:pPr>
        <w:pStyle w:val="Compact"/>
        <w:numPr>
          <w:ilvl w:val="0"/>
          <w:numId w:val="1009"/>
        </w:numPr>
      </w:pPr>
      <w:r>
        <w:t xml:space="preserve">Management gives a credible Gemini product-roadmap update and reiterates a strong competitive position.</w:t>
      </w:r>
    </w:p>
    <w:p>
      <w:pPr>
        <w:pStyle w:val="FirstParagraph"/>
      </w:pPr>
      <w:r>
        <w:rPr>
          <w:b/>
          <w:bCs/>
        </w:rPr>
        <w:t xml:space="preserve">Implication:</w:t>
      </w:r>
      <w:r>
        <w:t xml:space="preserve"> </w:t>
      </w:r>
      <w:r>
        <w:t xml:space="preserve">The market becomes more comfortable that Alphabet’s AI spending is generating both top-line growth and defensible economic returns.</w:t>
      </w:r>
    </w:p>
    <w:bookmarkEnd w:id="26"/>
    <w:bookmarkStart w:id="27" w:name="base-case"/>
    <w:p>
      <w:pPr>
        <w:pStyle w:val="Heading3"/>
      </w:pPr>
      <w:r>
        <w:t xml:space="preserve">Base case</w:t>
      </w:r>
    </w:p>
    <w:p>
      <w:pPr>
        <w:pStyle w:val="Compact"/>
        <w:numPr>
          <w:ilvl w:val="0"/>
          <w:numId w:val="1010"/>
        </w:numPr>
      </w:pPr>
      <w:r>
        <w:t xml:space="preserve">Search remains solid and Cloud stays strong, but growth moderates from an unusually high Q1 comparison.</w:t>
      </w:r>
    </w:p>
    <w:p>
      <w:pPr>
        <w:pStyle w:val="Compact"/>
        <w:numPr>
          <w:ilvl w:val="0"/>
          <w:numId w:val="1010"/>
        </w:numPr>
      </w:pPr>
      <w:r>
        <w:t xml:space="preserve">CapEx stays elevated, while management offers limited new precision on the 2027 spend outlook or model roadmap.</w:t>
      </w:r>
    </w:p>
    <w:p>
      <w:pPr>
        <w:pStyle w:val="Compact"/>
        <w:numPr>
          <w:ilvl w:val="0"/>
          <w:numId w:val="1010"/>
        </w:numPr>
      </w:pPr>
      <w:r>
        <w:t xml:space="preserve">Cloud margins absorb expected Wiz and depreciation pressure without a major deterioration.</w:t>
      </w:r>
    </w:p>
    <w:p>
      <w:pPr>
        <w:pStyle w:val="FirstParagraph"/>
      </w:pPr>
      <w:r>
        <w:rPr>
          <w:b/>
          <w:bCs/>
        </w:rPr>
        <w:t xml:space="preserve">Implication:</w:t>
      </w:r>
      <w:r>
        <w:t xml:space="preserve"> </w:t>
      </w:r>
      <w:r>
        <w:t xml:space="preserve">Fundamentals remain constructive, but the stock reaction may be contained because expectations for Cloud and AI monetization are already elevated.</w:t>
      </w:r>
    </w:p>
    <w:bookmarkEnd w:id="27"/>
    <w:bookmarkStart w:id="28" w:name="bear-case"/>
    <w:p>
      <w:pPr>
        <w:pStyle w:val="Heading3"/>
      </w:pPr>
      <w:r>
        <w:t xml:space="preserve">Bear case</w:t>
      </w:r>
    </w:p>
    <w:p>
      <w:pPr>
        <w:pStyle w:val="Compact"/>
        <w:numPr>
          <w:ilvl w:val="0"/>
          <w:numId w:val="1011"/>
        </w:numPr>
      </w:pPr>
      <w:r>
        <w:t xml:space="preserve">Search growth decelerates meaningfully or management is vague on AI monetization.</w:t>
      </w:r>
    </w:p>
    <w:p>
      <w:pPr>
        <w:pStyle w:val="Compact"/>
        <w:numPr>
          <w:ilvl w:val="0"/>
          <w:numId w:val="1011"/>
        </w:numPr>
      </w:pPr>
      <w:r>
        <w:t xml:space="preserve">Cloud growth, backlog conversion, or margins disappoint.</w:t>
      </w:r>
    </w:p>
    <w:p>
      <w:pPr>
        <w:pStyle w:val="Compact"/>
        <w:numPr>
          <w:ilvl w:val="0"/>
          <w:numId w:val="1011"/>
        </w:numPr>
      </w:pPr>
      <w:r>
        <w:t xml:space="preserve">CapEx guidance rises again without a clearer return framework.</w:t>
      </w:r>
    </w:p>
    <w:p>
      <w:pPr>
        <w:pStyle w:val="Compact"/>
        <w:numPr>
          <w:ilvl w:val="0"/>
          <w:numId w:val="1011"/>
        </w:numPr>
      </w:pPr>
      <w:r>
        <w:t xml:space="preserve">Gemini 3.5 Pro delays receive more attention without an offsetting product or enterprise-adoption catalyst.</w:t>
      </w:r>
    </w:p>
    <w:p>
      <w:pPr>
        <w:pStyle w:val="FirstParagraph"/>
      </w:pPr>
      <w:r>
        <w:rPr>
          <w:b/>
          <w:bCs/>
        </w:rPr>
        <w:t xml:space="preserve">Implication:</w:t>
      </w:r>
      <w:r>
        <w:t xml:space="preserve"> </w:t>
      </w:r>
      <w:r>
        <w:t xml:space="preserve">Investors could view Alphabet as spending aggressively to defend its position rather than converting AI leadership into superior economics.</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GOOGL’s Q2 report is primarily a test of whether</w:t>
      </w:r>
      <w:r>
        <w:t xml:space="preserve"> </w:t>
      </w:r>
      <w:r>
        <w:rPr>
          <w:b/>
          <w:bCs/>
        </w:rPr>
        <w:t xml:space="preserve">AI investment is becoming measurable financial leverage</w:t>
      </w:r>
      <w:r>
        <w:t xml:space="preserve">. Search remains the earnings foundation, but Cloud is now the swing factor and CapEx is the valuation constraint.</w:t>
      </w:r>
    </w:p>
    <w:p>
      <w:pPr>
        <w:pStyle w:val="BodyText"/>
      </w:pPr>
      <w:r>
        <w:t xml:space="preserve">The most important evidence to look for is a combination of:</w:t>
      </w:r>
    </w:p>
    <w:p>
      <w:pPr>
        <w:pStyle w:val="Compact"/>
        <w:numPr>
          <w:ilvl w:val="0"/>
          <w:numId w:val="1012"/>
        </w:numPr>
      </w:pPr>
      <w:r>
        <w:t xml:space="preserve">durable Search monetization,</w:t>
      </w:r>
    </w:p>
    <w:p>
      <w:pPr>
        <w:pStyle w:val="Compact"/>
        <w:numPr>
          <w:ilvl w:val="0"/>
          <w:numId w:val="1012"/>
        </w:numPr>
      </w:pPr>
      <w:r>
        <w:t xml:space="preserve">sustained Cloud growth with healthy margins,</w:t>
      </w:r>
    </w:p>
    <w:p>
      <w:pPr>
        <w:pStyle w:val="Compact"/>
        <w:numPr>
          <w:ilvl w:val="0"/>
          <w:numId w:val="1012"/>
        </w:numPr>
      </w:pPr>
      <w:r>
        <w:t xml:space="preserve">credible backlog conversion,</w:t>
      </w:r>
    </w:p>
    <w:p>
      <w:pPr>
        <w:pStyle w:val="Compact"/>
        <w:numPr>
          <w:ilvl w:val="0"/>
          <w:numId w:val="1012"/>
        </w:numPr>
      </w:pPr>
      <w:r>
        <w:t xml:space="preserve">disciplined CapEx commentary, and</w:t>
      </w:r>
    </w:p>
    <w:p>
      <w:pPr>
        <w:pStyle w:val="Compact"/>
        <w:numPr>
          <w:ilvl w:val="0"/>
          <w:numId w:val="1012"/>
        </w:numPr>
      </w:pPr>
      <w:r>
        <w:t xml:space="preserve">a reassuring update on Gemini’s frontier-model roadmap.</w:t>
      </w:r>
    </w:p>
    <w:p>
      <w:pPr>
        <w:pStyle w:val="FirstParagraph"/>
      </w:pPr>
      <w:r>
        <w:t xml:space="preserve">If Alphabet delivers those elements together, the report should reinforce the view that its integrated AI stack—distribution, data, models, custom silicon, and Cloud—is a competitive advantage rather than simply an expensive necessity.</w:t>
      </w:r>
    </w:p>
    <w:p>
      <w:pPr>
        <w:pStyle w:val="BodyText"/>
      </w:pPr>
      <w:r>
        <w:rPr>
          <w:i/>
          <w:iCs/>
        </w:rPr>
        <w:t xml:space="preserve">Primary source: Alphabet’s Q1 2026 earnings call, including management’s Q2 and full-year investment commentary; recent company and market news through July 21, 2026.</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2026-07-22T00:38:17Z</dcterms:created>
  <dcterms:modified xsi:type="dcterms:W3CDTF">2026-07-22T00:38:17Z</dcterms:modified>
</cp:coreProperties>
</file>

<file path=docProps/custom.xml><?xml version="1.0" encoding="utf-8"?>
<Properties xmlns="http://schemas.openxmlformats.org/officeDocument/2006/custom-properties" xmlns:vt="http://schemas.openxmlformats.org/officeDocument/2006/docPropsVTypes"/>
</file>