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Alphabet Inc. (GOOGL)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Alphabet Inc.</w:t>
            </w:r>
          </w:p>
        </w:tc>
        <w:tc>
          <w:tcPr>
            <w:tcW w:type="dxa" w:w="2160"/>
          </w:tcPr>
          <w:p>
            <w:r>
              <w:rPr>
                <w:rFonts w:ascii="Calibri" w:hAnsi="Calibri"/>
                <w:b/>
                <w:sz w:val="22"/>
              </w:rPr>
              <w:t>Earnings Date</w:t>
            </w:r>
          </w:p>
        </w:tc>
        <w:tc>
          <w:tcPr>
            <w:tcW w:type="dxa" w:w="2160"/>
          </w:tcPr>
          <w:p>
            <w:r>
              <w:rPr>
                <w:rFonts w:ascii="Calibri" w:hAnsi="Calibri"/>
                <w:sz w:val="22"/>
              </w:rPr>
              <w:t>July 22, 2026 (After Market Close)</w:t>
            </w:r>
          </w:p>
        </w:tc>
      </w:tr>
      <w:tr>
        <w:tc>
          <w:tcPr>
            <w:tcW w:type="dxa" w:w="2160"/>
          </w:tcPr>
          <w:p>
            <w:r>
              <w:rPr>
                <w:rFonts w:ascii="Calibri" w:hAnsi="Calibri"/>
                <w:b/>
                <w:sz w:val="22"/>
              </w:rPr>
              <w:t>Ticker</w:t>
            </w:r>
          </w:p>
        </w:tc>
        <w:tc>
          <w:tcPr>
            <w:tcW w:type="dxa" w:w="2160"/>
          </w:tcPr>
          <w:p>
            <w:r>
              <w:rPr>
                <w:rFonts w:ascii="Calibri" w:hAnsi="Calibri"/>
                <w:sz w:val="22"/>
              </w:rPr>
              <w:t>GOOGL (NASDAQ)</w:t>
            </w:r>
          </w:p>
        </w:tc>
        <w:tc>
          <w:tcPr>
            <w:tcW w:type="dxa" w:w="2160"/>
          </w:tcPr>
          <w:p>
            <w:r>
              <w:rPr>
                <w:rFonts w:ascii="Calibri" w:hAnsi="Calibri"/>
                <w:b/>
                <w:sz w:val="22"/>
              </w:rPr>
              <w:t>Reporting Period</w:t>
            </w:r>
          </w:p>
        </w:tc>
        <w:tc>
          <w:tcPr>
            <w:tcW w:type="dxa" w:w="2160"/>
          </w:tcPr>
          <w:p>
            <w:r>
              <w:rPr>
                <w:rFonts w:ascii="Calibri" w:hAnsi="Calibri"/>
                <w:sz w:val="22"/>
              </w:rPr>
              <w:t>Q2 2026 (April–June 2026)</w:t>
            </w:r>
          </w:p>
        </w:tc>
      </w:tr>
      <w:tr>
        <w:tc>
          <w:tcPr>
            <w:tcW w:type="dxa" w:w="2160"/>
          </w:tcPr>
          <w:p>
            <w:r>
              <w:rPr>
                <w:rFonts w:ascii="Calibri" w:hAnsi="Calibri"/>
                <w:b/>
                <w:sz w:val="22"/>
              </w:rPr>
              <w:t>Sector ETF</w:t>
            </w:r>
          </w:p>
        </w:tc>
        <w:tc>
          <w:tcPr>
            <w:tcW w:type="dxa" w:w="2160"/>
          </w:tcPr>
          <w:p>
            <w:r>
              <w:rPr>
                <w:rFonts w:ascii="Calibri" w:hAnsi="Calibri"/>
                <w:sz w:val="22"/>
              </w:rPr>
              <w:t>XLC (Communication Services)</w:t>
            </w:r>
          </w:p>
        </w:tc>
        <w:tc>
          <w:tcPr>
            <w:tcW w:type="dxa" w:w="2160"/>
          </w:tcPr>
          <w:p>
            <w:r>
              <w:rPr>
                <w:rFonts w:ascii="Calibri" w:hAnsi="Calibri"/>
                <w:b/>
                <w:sz w:val="22"/>
              </w:rPr>
              <w:t>Prepared</w:t>
            </w:r>
          </w:p>
        </w:tc>
        <w:tc>
          <w:tcPr>
            <w:tcW w:type="dxa" w:w="2160"/>
          </w:tcPr>
          <w:p>
            <w:r>
              <w:rPr>
                <w:rFonts w:ascii="Calibri" w:hAnsi="Calibri"/>
                <w:sz w:val="22"/>
              </w:rPr>
              <w:t>July 21,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but not easy — consensus has moved up since the Q1 blowout, and the bar on </w:t>
      </w:r>
      <w:r>
        <w:rPr>
          <w:rFonts w:ascii="Calibri" w:hAnsi="Calibri"/>
          <w:b/>
          <w:color w:val="525866"/>
          <w:sz w:val="22"/>
        </w:rPr>
        <w:t>Google Cloud</w:t>
      </w:r>
      <w:r>
        <w:rPr>
          <w:rFonts w:ascii="Calibri" w:hAnsi="Calibri"/>
          <w:color w:val="525866"/>
          <w:sz w:val="22"/>
        </w:rPr>
        <w:t xml:space="preserve"> is now meaningfully higher; the single biggest swing factor is whether Cloud revenue can sustain its 60%+ growth trajectory against a tougher sequential compare and a Wiz margin drag.</w:t>
      </w:r>
    </w:p>
    <w:p>
      <w:r>
        <w:rPr>
          <w:rFonts w:ascii="Calibri" w:hAnsi="Calibri"/>
          <w:color w:val="525866"/>
          <w:sz w:val="22"/>
        </w:rPr>
        <w:t xml:space="preserve">Heading into Q2 2026, Alphabet carries significant momentum from its strongest quarter in years, but the bar has risen sharply. Consensus now sits at ~$117.2B in revenue (+21% YoY) and ~$48.2B in operating income, both well above where estimates stood five trading days after the Q1 print. </w:t>
      </w:r>
      <w:r>
        <w:rPr>
          <w:rFonts w:ascii="Calibri" w:hAnsi="Calibri"/>
          <w:b/>
          <w:color w:val="525866"/>
          <w:sz w:val="22"/>
        </w:rPr>
        <w:t>Google Cloud</w:t>
      </w:r>
      <w:r>
        <w:rPr>
          <w:rFonts w:ascii="Calibri" w:hAnsi="Calibri"/>
          <w:color w:val="525866"/>
          <w:sz w:val="22"/>
        </w:rPr>
        <w:t xml:space="preserve"> is the fulcrum: the Street expects ~$22.5B (+65% YoY), and any deceleration from Q1's 63% pace — even modest — will be scrutinized given the $462B backlog narrative management has been selling. </w:t>
      </w:r>
      <w:r>
        <w:rPr>
          <w:rFonts w:ascii="Calibri" w:hAnsi="Calibri"/>
          <w:b/>
          <w:color w:val="525866"/>
          <w:sz w:val="22"/>
        </w:rPr>
        <w:t>Search</w:t>
      </w:r>
      <w:r>
        <w:rPr>
          <w:rFonts w:ascii="Calibri" w:hAnsi="Calibri"/>
          <w:color w:val="525866"/>
          <w:sz w:val="22"/>
        </w:rPr>
        <w:t xml:space="preserve"> remains the steady engine, with AI Overviews and AI Mode driving all-time-high query volumes and monetizing at parity with traditional search; consensus at ~$63.3B implies continued 17% YoY growth, a reasonable bar. Management's tone since Q1 has been unambiguously bullish — Google I/O in May showcased Gemini 3.5, AI Mode surpassing 1B monthly users, and new agentic commerce integrations — and there has been no negative pre-announcement or guidance revision. The stock, however, has given back its entire post-Q1 earnings pop and then some, trading ~1% below the pre-earnings close, suggesting the market is pricing in execution risk rather than euphoria. The key wildcard is the </w:t>
      </w:r>
      <w:r>
        <w:rPr>
          <w:rFonts w:ascii="Calibri" w:hAnsi="Calibri"/>
          <w:b/>
          <w:color w:val="525866"/>
          <w:sz w:val="22"/>
        </w:rPr>
        <w:t>DOJ antitrust remedies order</w:t>
      </w:r>
      <w:r>
        <w:rPr>
          <w:rFonts w:ascii="Calibri" w:hAnsi="Calibri"/>
          <w:color w:val="525866"/>
          <w:sz w:val="22"/>
        </w:rPr>
        <w:t xml:space="preserve"> (finalized April 25, 2026), which bans exclusive default search contracts and mandates data-sharing with rivals — a structural overhang that has weighed on sentiment even as near-term financials remain robust.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 estimates have risen ~$1.3B on revenue and ~$1.5B on operating income since the Q1 print. </w:t>
      </w:r>
      <w:r>
        <w:rPr>
          <w:rFonts w:ascii="Calibri" w:hAnsi="Calibri"/>
          <w:b/>
          <w:color w:val="525866"/>
          <w:sz w:val="22"/>
        </w:rPr>
        <w:t>Google Cloud</w:t>
      </w:r>
      <w:r>
        <w:rPr>
          <w:rFonts w:ascii="Calibri" w:hAnsi="Calibri"/>
          <w:color w:val="525866"/>
          <w:sz w:val="22"/>
        </w:rPr>
        <w:t xml:space="preserve"> is the bigger swing factor: a beat there drives the stock; a miss on Cloud margin (Wiz drag) is the primary downside risk.</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Consolidated Revenue ($B)</w:t>
            </w:r>
          </w:p>
        </w:tc>
        <w:tc>
          <w:tcPr>
            <w:tcW w:type="dxa" w:w="1234"/>
          </w:tcPr>
          <w:p>
            <w:r>
              <w:rPr>
                <w:rFonts w:ascii="Calibri" w:hAnsi="Calibri"/>
                <w:sz w:val="22"/>
              </w:rPr>
              <w:t>$109.9B</w:t>
            </w:r>
          </w:p>
        </w:tc>
        <w:tc>
          <w:tcPr>
            <w:tcW w:type="dxa" w:w="1234"/>
          </w:tcPr>
          <w:p>
            <w:r>
              <w:rPr>
                <w:rFonts w:ascii="Calibri" w:hAnsi="Calibri"/>
                <w:sz w:val="22"/>
              </w:rPr>
              <w:t>$96.4B</w:t>
            </w:r>
          </w:p>
        </w:tc>
        <w:tc>
          <w:tcPr>
            <w:tcW w:type="dxa" w:w="1234"/>
          </w:tcPr>
          <w:p>
            <w:r>
              <w:rPr>
                <w:rFonts w:ascii="Calibri" w:hAnsi="Calibri"/>
                <w:sz w:val="22"/>
              </w:rPr>
              <w:t>$117.2B</w:t>
            </w:r>
          </w:p>
        </w:tc>
        <w:tc>
          <w:tcPr>
            <w:tcW w:type="dxa" w:w="1234"/>
          </w:tcPr>
          <w:p>
            <w:r>
              <w:rPr>
                <w:rFonts w:ascii="Calibri" w:hAnsi="Calibri"/>
                <w:sz w:val="22"/>
              </w:rPr>
              <w:t>+21.6%</w:t>
            </w:r>
          </w:p>
        </w:tc>
        <w:tc>
          <w:tcPr>
            <w:tcW w:type="dxa" w:w="1234"/>
          </w:tcPr>
          <w:p>
            <w:r>
              <w:rPr>
                <w:rFonts w:ascii="Calibri" w:hAnsi="Calibri"/>
                <w:sz w:val="22"/>
              </w:rPr>
              <w:t>No specific Q2 revenue guidance; ~1pt FX tailwind guided</w:t>
            </w:r>
          </w:p>
        </w:tc>
        <w:tc>
          <w:tcPr>
            <w:tcW w:type="dxa" w:w="1234"/>
          </w:tcPr>
          <w:p>
            <w:r>
              <w:rPr>
                <w:rFonts w:ascii="Calibri" w:hAnsi="Calibri"/>
                <w:sz w:val="22"/>
              </w:rPr>
              <w:t>N/A (no revenue guidance)</w:t>
            </w:r>
          </w:p>
        </w:tc>
      </w:tr>
      <w:tr>
        <w:tc>
          <w:tcPr>
            <w:tcW w:type="dxa" w:w="1234"/>
          </w:tcPr>
          <w:p>
            <w:r>
              <w:rPr>
                <w:rFonts w:ascii="Calibri" w:hAnsi="Calibri"/>
                <w:sz w:val="22"/>
              </w:rPr>
              <w:t>Google Search &amp; Other Revenue ($B)</w:t>
            </w:r>
          </w:p>
        </w:tc>
        <w:tc>
          <w:tcPr>
            <w:tcW w:type="dxa" w:w="1234"/>
          </w:tcPr>
          <w:p>
            <w:r>
              <w:rPr>
                <w:rFonts w:ascii="Calibri" w:hAnsi="Calibri"/>
                <w:sz w:val="22"/>
              </w:rPr>
              <w:t>$60.4B</w:t>
            </w:r>
          </w:p>
        </w:tc>
        <w:tc>
          <w:tcPr>
            <w:tcW w:type="dxa" w:w="1234"/>
          </w:tcPr>
          <w:p>
            <w:r>
              <w:rPr>
                <w:rFonts w:ascii="Calibri" w:hAnsi="Calibri"/>
                <w:sz w:val="22"/>
              </w:rPr>
              <w:t>$54.2B</w:t>
            </w:r>
          </w:p>
        </w:tc>
        <w:tc>
          <w:tcPr>
            <w:tcW w:type="dxa" w:w="1234"/>
          </w:tcPr>
          <w:p>
            <w:r>
              <w:rPr>
                <w:rFonts w:ascii="Calibri" w:hAnsi="Calibri"/>
                <w:sz w:val="22"/>
              </w:rPr>
              <w:t>$63.3B</w:t>
            </w:r>
          </w:p>
        </w:tc>
        <w:tc>
          <w:tcPr>
            <w:tcW w:type="dxa" w:w="1234"/>
          </w:tcPr>
          <w:p>
            <w:r>
              <w:rPr>
                <w:rFonts w:ascii="Calibri" w:hAnsi="Calibri"/>
                <w:sz w:val="22"/>
              </w:rPr>
              <w:t>+16.8%</w:t>
            </w:r>
          </w:p>
        </w:tc>
        <w:tc>
          <w:tcPr>
            <w:tcW w:type="dxa" w:w="1234"/>
          </w:tcPr>
          <w:p>
            <w:r>
              <w:rPr>
                <w:rFonts w:ascii="Calibri" w:hAnsi="Calibri"/>
                <w:sz w:val="22"/>
              </w:rPr>
              <w:t>No specific guidance; queries at all-time highs</w:t>
            </w:r>
          </w:p>
        </w:tc>
        <w:tc>
          <w:tcPr>
            <w:tcW w:type="dxa" w:w="1234"/>
          </w:tcPr>
          <w:p>
            <w:r>
              <w:rPr>
                <w:rFonts w:ascii="Calibri" w:hAnsi="Calibri"/>
                <w:sz w:val="22"/>
              </w:rPr>
              <w:t>N/A</w:t>
            </w:r>
          </w:p>
        </w:tc>
      </w:tr>
      <w:tr>
        <w:tc>
          <w:tcPr>
            <w:tcW w:type="dxa" w:w="1234"/>
          </w:tcPr>
          <w:p>
            <w:r>
              <w:rPr>
                <w:rFonts w:ascii="Calibri" w:hAnsi="Calibri"/>
                <w:sz w:val="22"/>
              </w:rPr>
              <w:t>Google Cloud Revenue ($B)</w:t>
            </w:r>
          </w:p>
        </w:tc>
        <w:tc>
          <w:tcPr>
            <w:tcW w:type="dxa" w:w="1234"/>
          </w:tcPr>
          <w:p>
            <w:r>
              <w:rPr>
                <w:rFonts w:ascii="Calibri" w:hAnsi="Calibri"/>
                <w:sz w:val="22"/>
              </w:rPr>
              <w:t>$20.0B</w:t>
            </w:r>
          </w:p>
        </w:tc>
        <w:tc>
          <w:tcPr>
            <w:tcW w:type="dxa" w:w="1234"/>
          </w:tcPr>
          <w:p>
            <w:r>
              <w:rPr>
                <w:rFonts w:ascii="Calibri" w:hAnsi="Calibri"/>
                <w:sz w:val="22"/>
              </w:rPr>
              <w:t>$13.6B</w:t>
            </w:r>
          </w:p>
        </w:tc>
        <w:tc>
          <w:tcPr>
            <w:tcW w:type="dxa" w:w="1234"/>
          </w:tcPr>
          <w:p>
            <w:r>
              <w:rPr>
                <w:rFonts w:ascii="Calibri" w:hAnsi="Calibri"/>
                <w:sz w:val="22"/>
              </w:rPr>
              <w:t>$22.5B</w:t>
            </w:r>
          </w:p>
        </w:tc>
        <w:tc>
          <w:tcPr>
            <w:tcW w:type="dxa" w:w="1234"/>
          </w:tcPr>
          <w:p>
            <w:r>
              <w:rPr>
                <w:rFonts w:ascii="Calibri" w:hAnsi="Calibri"/>
                <w:sz w:val="22"/>
              </w:rPr>
              <w:t>+65.2%</w:t>
            </w:r>
          </w:p>
        </w:tc>
        <w:tc>
          <w:tcPr>
            <w:tcW w:type="dxa" w:w="1234"/>
          </w:tcPr>
          <w:p>
            <w:r>
              <w:rPr>
                <w:rFonts w:ascii="Calibri" w:hAnsi="Calibri"/>
                <w:sz w:val="22"/>
              </w:rPr>
              <w:t>No specific guidance; compute-constrained; Wiz margin drag guided</w:t>
            </w:r>
          </w:p>
        </w:tc>
        <w:tc>
          <w:tcPr>
            <w:tcW w:type="dxa" w:w="1234"/>
          </w:tcPr>
          <w:p>
            <w:r>
              <w:rPr>
                <w:rFonts w:ascii="Calibri" w:hAnsi="Calibri"/>
                <w:sz w:val="22"/>
              </w:rPr>
              <w:t>N/A</w:t>
            </w:r>
          </w:p>
        </w:tc>
      </w:tr>
      <w:tr>
        <w:tc>
          <w:tcPr>
            <w:tcW w:type="dxa" w:w="1234"/>
          </w:tcPr>
          <w:p>
            <w:r>
              <w:rPr>
                <w:rFonts w:ascii="Calibri" w:hAnsi="Calibri"/>
                <w:sz w:val="22"/>
              </w:rPr>
              <w:t>YouTube Ads Revenue ($B)</w:t>
            </w:r>
          </w:p>
        </w:tc>
        <w:tc>
          <w:tcPr>
            <w:tcW w:type="dxa" w:w="1234"/>
          </w:tcPr>
          <w:p>
            <w:r>
              <w:rPr>
                <w:rFonts w:ascii="Calibri" w:hAnsi="Calibri"/>
                <w:sz w:val="22"/>
              </w:rPr>
              <w:t>$9.9B</w:t>
            </w:r>
          </w:p>
        </w:tc>
        <w:tc>
          <w:tcPr>
            <w:tcW w:type="dxa" w:w="1234"/>
          </w:tcPr>
          <w:p>
            <w:r>
              <w:rPr>
                <w:rFonts w:ascii="Calibri" w:hAnsi="Calibri"/>
                <w:sz w:val="22"/>
              </w:rPr>
              <w:t>$9.8B</w:t>
            </w:r>
          </w:p>
        </w:tc>
        <w:tc>
          <w:tcPr>
            <w:tcW w:type="dxa" w:w="1234"/>
          </w:tcPr>
          <w:p>
            <w:r>
              <w:rPr>
                <w:rFonts w:ascii="Calibri" w:hAnsi="Calibri"/>
                <w:sz w:val="22"/>
              </w:rPr>
              <w:t>$10.8B</w:t>
            </w:r>
          </w:p>
        </w:tc>
        <w:tc>
          <w:tcPr>
            <w:tcW w:type="dxa" w:w="1234"/>
          </w:tcPr>
          <w:p>
            <w:r>
              <w:rPr>
                <w:rFonts w:ascii="Calibri" w:hAnsi="Calibri"/>
                <w:sz w:val="22"/>
              </w:rPr>
              <w:t>+10.2%</w:t>
            </w:r>
          </w:p>
        </w:tc>
        <w:tc>
          <w:tcPr>
            <w:tcW w:type="dxa" w:w="1234"/>
          </w:tcPr>
          <w:p>
            <w:r>
              <w:rPr>
                <w:rFonts w:ascii="Calibri" w:hAnsi="Calibri"/>
                <w:sz w:val="22"/>
              </w:rPr>
              <w:t>No specific guidance; dual-revenue model (ads + subs)</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$46.4B</w:t>
            </w:r>
          </w:p>
        </w:tc>
        <w:tc>
          <w:tcPr>
            <w:tcW w:type="dxa" w:w="1234"/>
          </w:tcPr>
          <w:p>
            <w:r>
              <w:rPr>
                <w:rFonts w:ascii="Calibri" w:hAnsi="Calibri"/>
                <w:sz w:val="22"/>
              </w:rPr>
              <w:t>$38.7B</w:t>
            </w:r>
          </w:p>
        </w:tc>
        <w:tc>
          <w:tcPr>
            <w:tcW w:type="dxa" w:w="1234"/>
          </w:tcPr>
          <w:p>
            <w:r>
              <w:rPr>
                <w:rFonts w:ascii="Calibri" w:hAnsi="Calibri"/>
                <w:sz w:val="22"/>
              </w:rPr>
              <w:t>$48.2B</w:t>
            </w:r>
          </w:p>
        </w:tc>
        <w:tc>
          <w:tcPr>
            <w:tcW w:type="dxa" w:w="1234"/>
          </w:tcPr>
          <w:p>
            <w:r>
              <w:rPr>
                <w:rFonts w:ascii="Calibri" w:hAnsi="Calibri"/>
                <w:sz w:val="22"/>
              </w:rPr>
              <w:t>+24.6%</w:t>
            </w:r>
          </w:p>
        </w:tc>
        <w:tc>
          <w:tcPr>
            <w:tcW w:type="dxa" w:w="1234"/>
          </w:tcPr>
          <w:p>
            <w:r>
              <w:rPr>
                <w:rFonts w:ascii="Calibri" w:hAnsi="Calibri"/>
                <w:sz w:val="22"/>
              </w:rPr>
              <w:t>No specific guidance; depreciation headwinds flagged</w:t>
            </w:r>
          </w:p>
        </w:tc>
        <w:tc>
          <w:tcPr>
            <w:tcW w:type="dxa" w:w="1234"/>
          </w:tcPr>
          <w:p>
            <w:r>
              <w:rPr>
                <w:rFonts w:ascii="Calibri" w:hAnsi="Calibri"/>
                <w:sz w:val="22"/>
              </w:rPr>
              <w:t>N/A</w:t>
            </w:r>
          </w:p>
        </w:tc>
      </w:tr>
      <w:tr>
        <w:tc>
          <w:tcPr>
            <w:tcW w:type="dxa" w:w="1234"/>
          </w:tcPr>
          <w:p>
            <w:r>
              <w:rPr>
                <w:rFonts w:ascii="Calibri" w:hAnsi="Calibri"/>
                <w:sz w:val="22"/>
              </w:rPr>
              <w:t>Operating Margin — Operating (%)</w:t>
            </w:r>
          </w:p>
        </w:tc>
        <w:tc>
          <w:tcPr>
            <w:tcW w:type="dxa" w:w="1234"/>
          </w:tcPr>
          <w:p>
            <w:r>
              <w:rPr>
                <w:rFonts w:ascii="Calibri" w:hAnsi="Calibri"/>
                <w:sz w:val="22"/>
              </w:rPr>
              <w:t>49.1%</w:t>
            </w:r>
          </w:p>
        </w:tc>
        <w:tc>
          <w:tcPr>
            <w:tcW w:type="dxa" w:w="1234"/>
          </w:tcPr>
          <w:p>
            <w:r>
              <w:rPr>
                <w:rFonts w:ascii="Calibri" w:hAnsi="Calibri"/>
                <w:sz w:val="22"/>
              </w:rPr>
              <w:t>47.3%</w:t>
            </w:r>
          </w:p>
        </w:tc>
        <w:tc>
          <w:tcPr>
            <w:tcW w:type="dxa" w:w="1234"/>
          </w:tcPr>
          <w:p>
            <w:r>
              <w:rPr>
                <w:rFonts w:ascii="Calibri" w:hAnsi="Calibri"/>
                <w:sz w:val="22"/>
              </w:rPr>
              <w:t>47.8%</w:t>
            </w:r>
          </w:p>
        </w:tc>
        <w:tc>
          <w:tcPr>
            <w:tcW w:type="dxa" w:w="1234"/>
          </w:tcPr>
          <w:p>
            <w:r>
              <w:rPr>
                <w:rFonts w:ascii="Calibri" w:hAnsi="Calibri"/>
                <w:sz w:val="22"/>
              </w:rPr>
              <w:t>+50 bps YoY</w:t>
            </w:r>
          </w:p>
        </w:tc>
        <w:tc>
          <w:tcPr>
            <w:tcW w:type="dxa" w:w="1234"/>
          </w:tcPr>
          <w:p>
            <w:r>
              <w:rPr>
                <w:rFonts w:ascii="Calibri" w:hAnsi="Calibri"/>
                <w:sz w:val="22"/>
              </w:rPr>
              <w:t>Depreciation pressure flagged; Wiz drag on Cloud margin</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$2.80</w:t>
            </w:r>
          </w:p>
        </w:tc>
        <w:tc>
          <w:tcPr>
            <w:tcW w:type="dxa" w:w="1234"/>
          </w:tcPr>
          <w:p>
            <w:r>
              <w:rPr>
                <w:rFonts w:ascii="Calibri" w:hAnsi="Calibri"/>
                <w:sz w:val="22"/>
              </w:rPr>
              <w:t>$2.55</w:t>
            </w:r>
          </w:p>
        </w:tc>
        <w:tc>
          <w:tcPr>
            <w:tcW w:type="dxa" w:w="1234"/>
          </w:tcPr>
          <w:p>
            <w:r>
              <w:rPr>
                <w:rFonts w:ascii="Calibri" w:hAnsi="Calibri"/>
                <w:sz w:val="22"/>
              </w:rPr>
              <w:t>$3.32</w:t>
            </w:r>
          </w:p>
        </w:tc>
        <w:tc>
          <w:tcPr>
            <w:tcW w:type="dxa" w:w="1234"/>
          </w:tcPr>
          <w:p>
            <w:r>
              <w:rPr>
                <w:rFonts w:ascii="Calibri" w:hAnsi="Calibri"/>
                <w:sz w:val="22"/>
              </w:rPr>
              <w:t>+30.2%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CapEx / Purchases of PP&amp;E ($B)</w:t>
            </w:r>
          </w:p>
        </w:tc>
        <w:tc>
          <w:tcPr>
            <w:tcW w:type="dxa" w:w="1234"/>
          </w:tcPr>
          <w:p>
            <w:r>
              <w:rPr>
                <w:rFonts w:ascii="Calibri" w:hAnsi="Calibri"/>
                <w:sz w:val="22"/>
              </w:rPr>
              <w:t>$35.7B</w:t>
            </w:r>
          </w:p>
        </w:tc>
        <w:tc>
          <w:tcPr>
            <w:tcW w:type="dxa" w:w="1234"/>
          </w:tcPr>
          <w:p>
            <w:r>
              <w:rPr>
                <w:rFonts w:ascii="Calibri" w:hAnsi="Calibri"/>
                <w:sz w:val="22"/>
              </w:rPr>
              <w:t>$22.4B</w:t>
            </w:r>
          </w:p>
        </w:tc>
        <w:tc>
          <w:tcPr>
            <w:tcW w:type="dxa" w:w="1234"/>
          </w:tcPr>
          <w:p>
            <w:r>
              <w:rPr>
                <w:rFonts w:ascii="Calibri" w:hAnsi="Calibri"/>
                <w:sz w:val="22"/>
              </w:rPr>
              <w:t>$44.7B</w:t>
            </w:r>
          </w:p>
        </w:tc>
        <w:tc>
          <w:tcPr>
            <w:tcW w:type="dxa" w:w="1234"/>
          </w:tcPr>
          <w:p>
            <w:r>
              <w:rPr>
                <w:rFonts w:ascii="Calibri" w:hAnsi="Calibri"/>
                <w:sz w:val="22"/>
              </w:rPr>
              <w:t>+99.2%</w:t>
            </w:r>
          </w:p>
        </w:tc>
        <w:tc>
          <w:tcPr>
            <w:tcW w:type="dxa" w:w="1234"/>
          </w:tcPr>
          <w:p>
            <w:r>
              <w:rPr>
                <w:rFonts w:ascii="Calibri" w:hAnsi="Calibri"/>
                <w:sz w:val="22"/>
              </w:rPr>
              <w:t>FY2026 guided $180–190B; 2027 to increase significantly</w:t>
            </w:r>
          </w:p>
        </w:tc>
        <w:tc>
          <w:tcPr>
            <w:tcW w:type="dxa" w:w="1234"/>
          </w:tcPr>
          <w:p>
            <w:r>
              <w:rPr>
                <w:rFonts w:ascii="Calibri" w:hAnsi="Calibri"/>
                <w:sz w:val="22"/>
              </w:rPr>
              <w:t>Within FY guidance range</w:t>
            </w:r>
          </w:p>
        </w:tc>
      </w:tr>
      <w:tr>
        <w:tc>
          <w:tcPr>
            <w:tcW w:type="dxa" w:w="1234"/>
          </w:tcPr>
          <w:p>
            <w:r>
              <w:rPr>
                <w:rFonts w:ascii="Calibri" w:hAnsi="Calibri"/>
                <w:sz w:val="22"/>
              </w:rPr>
              <w:t>Free Cash Flow ($B)</w:t>
            </w:r>
          </w:p>
        </w:tc>
        <w:tc>
          <w:tcPr>
            <w:tcW w:type="dxa" w:w="1234"/>
          </w:tcPr>
          <w:p>
            <w:r>
              <w:rPr>
                <w:rFonts w:ascii="Calibri" w:hAnsi="Calibri"/>
                <w:sz w:val="22"/>
              </w:rPr>
              <w:t>$10.1B</w:t>
            </w:r>
          </w:p>
        </w:tc>
        <w:tc>
          <w:tcPr>
            <w:tcW w:type="dxa" w:w="1234"/>
          </w:tcPr>
          <w:p>
            <w:r>
              <w:rPr>
                <w:rFonts w:ascii="Calibri" w:hAnsi="Calibri"/>
                <w:sz w:val="22"/>
              </w:rPr>
              <w:t>$5.3B</w:t>
            </w:r>
          </w:p>
        </w:tc>
        <w:tc>
          <w:tcPr>
            <w:tcW w:type="dxa" w:w="1234"/>
          </w:tcPr>
          <w:p>
            <w:r>
              <w:rPr>
                <w:rFonts w:ascii="Calibri" w:hAnsi="Calibri"/>
                <w:sz w:val="22"/>
              </w:rPr>
              <w:t>$1.4B</w:t>
            </w:r>
          </w:p>
        </w:tc>
        <w:tc>
          <w:tcPr>
            <w:tcW w:type="dxa" w:w="1234"/>
          </w:tcPr>
          <w:p>
            <w:r>
              <w:rPr>
                <w:rFonts w:ascii="Calibri" w:hAnsi="Calibri"/>
                <w:sz w:val="22"/>
              </w:rPr>
              <w:t>N/M (CapEx surge)</w:t>
            </w:r>
          </w:p>
        </w:tc>
        <w:tc>
          <w:tcPr>
            <w:tcW w:type="dxa" w:w="1234"/>
          </w:tcPr>
          <w:p>
            <w:r>
              <w:rPr>
                <w:rFonts w:ascii="Calibri" w:hAnsi="Calibri"/>
                <w:sz w:val="22"/>
              </w:rPr>
              <w:t>No specific guidance; under pressure from CapEx</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21, 2026. Operating EPS and Operating Income use the non-GAAP operating series (excludes SBC and other adjustments) which is the primary metric analysts track. Q1 2026 EPS of $5.11 GAAP was substantially inflated by a $36.9B unrealized equity gain; operating EPS of $2.80 is the representative figure.</w:t>
      </w:r>
    </w:p>
    <w:p>
      <w:pPr>
        <w:pStyle w:val="Heading3"/>
      </w:pPr>
      <w:r>
        <w:rPr>
          <w:rFonts w:ascii="Calibri" w:hAnsi="Calibri"/>
          <w:b/>
          <w:color w:val="3B4259"/>
          <w:sz w:val="24"/>
        </w:rPr>
        <w:t>Table 2 — Beat/Miss History: Last 8 Quarters (Top 2 KPIs: Google Cloud Revenue &amp; Google Search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($B)</w:t>
            </w:r>
          </w:p>
        </w:tc>
        <w:tc>
          <w:tcPr>
            <w:tcW w:type="dxa" w:w="1440"/>
            <w:shd w:val="clear" w:color="auto" w:fill="3B4259"/>
          </w:tcPr>
          <w:p>
            <w:r>
              <w:rPr>
                <w:rFonts w:ascii="Calibri" w:hAnsi="Calibri"/>
                <w:b/>
                <w:color w:val="FFFFFF"/>
                <w:sz w:val="22"/>
              </w:rPr>
              <w:t>Consensus ($B)</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Cloud Revenue</w:t>
            </w:r>
          </w:p>
        </w:tc>
        <w:tc>
          <w:tcPr>
            <w:tcW w:type="dxa" w:w="1440"/>
          </w:tcPr>
          <w:p>
            <w:r>
              <w:rPr>
                <w:rFonts w:ascii="Calibri" w:hAnsi="Calibri"/>
                <w:sz w:val="22"/>
              </w:rPr>
              <w:t>$20.0B</w:t>
            </w:r>
          </w:p>
        </w:tc>
        <w:tc>
          <w:tcPr>
            <w:tcW w:type="dxa" w:w="1440"/>
          </w:tcPr>
          <w:p>
            <w:r>
              <w:rPr>
                <w:rFonts w:ascii="Calibri" w:hAnsi="Calibri"/>
                <w:sz w:val="22"/>
              </w:rPr>
              <w:t>$18.4B</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Search Revenue</w:t>
            </w:r>
          </w:p>
        </w:tc>
        <w:tc>
          <w:tcPr>
            <w:tcW w:type="dxa" w:w="1440"/>
          </w:tcPr>
          <w:p>
            <w:r>
              <w:rPr>
                <w:rFonts w:ascii="Calibri" w:hAnsi="Calibri"/>
                <w:sz w:val="22"/>
              </w:rPr>
              <w:t>$60.4B</w:t>
            </w:r>
          </w:p>
        </w:tc>
        <w:tc>
          <w:tcPr>
            <w:tcW w:type="dxa" w:w="1440"/>
          </w:tcPr>
          <w:p>
            <w:r>
              <w:rPr>
                <w:rFonts w:ascii="Calibri" w:hAnsi="Calibri"/>
                <w:sz w:val="22"/>
              </w:rPr>
              <w:t>$59.0B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Cloud Revenue</w:t>
            </w:r>
          </w:p>
        </w:tc>
        <w:tc>
          <w:tcPr>
            <w:tcW w:type="dxa" w:w="1440"/>
          </w:tcPr>
          <w:p>
            <w:r>
              <w:rPr>
                <w:rFonts w:ascii="Calibri" w:hAnsi="Calibri"/>
                <w:sz w:val="22"/>
              </w:rPr>
              <w:t>$17.7B</w:t>
            </w:r>
          </w:p>
        </w:tc>
        <w:tc>
          <w:tcPr>
            <w:tcW w:type="dxa" w:w="1440"/>
          </w:tcPr>
          <w:p>
            <w:r>
              <w:rPr>
                <w:rFonts w:ascii="Calibri" w:hAnsi="Calibri"/>
                <w:sz w:val="22"/>
              </w:rPr>
              <w:t>$16.3B</w:t>
            </w:r>
          </w:p>
        </w:tc>
        <w:tc>
          <w:tcPr>
            <w:tcW w:type="dxa" w:w="1440"/>
          </w:tcPr>
          <w:p>
            <w:r>
              <w:rPr>
                <w:rFonts w:ascii="Calibri" w:hAnsi="Calibri"/>
                <w:b/>
                <w:color w:val="30A46C"/>
                <w:sz w:val="22"/>
              </w:rPr>
              <w:t>+8.6%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Search Revenue</w:t>
            </w:r>
          </w:p>
        </w:tc>
        <w:tc>
          <w:tcPr>
            <w:tcW w:type="dxa" w:w="1440"/>
          </w:tcPr>
          <w:p>
            <w:r>
              <w:rPr>
                <w:rFonts w:ascii="Calibri" w:hAnsi="Calibri"/>
                <w:sz w:val="22"/>
              </w:rPr>
              <w:t>$63.1B</w:t>
            </w:r>
          </w:p>
        </w:tc>
        <w:tc>
          <w:tcPr>
            <w:tcW w:type="dxa" w:w="1440"/>
          </w:tcPr>
          <w:p>
            <w:r>
              <w:rPr>
                <w:rFonts w:ascii="Calibri" w:hAnsi="Calibri"/>
                <w:sz w:val="22"/>
              </w:rPr>
              <w:t>$61.3B</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Cloud Revenue</w:t>
            </w:r>
          </w:p>
        </w:tc>
        <w:tc>
          <w:tcPr>
            <w:tcW w:type="dxa" w:w="1440"/>
          </w:tcPr>
          <w:p>
            <w:r>
              <w:rPr>
                <w:rFonts w:ascii="Calibri" w:hAnsi="Calibri"/>
                <w:sz w:val="22"/>
              </w:rPr>
              <w:t>$15.2B</w:t>
            </w:r>
          </w:p>
        </w:tc>
        <w:tc>
          <w:tcPr>
            <w:tcW w:type="dxa" w:w="1440"/>
          </w:tcPr>
          <w:p>
            <w:r>
              <w:rPr>
                <w:rFonts w:ascii="Calibri" w:hAnsi="Calibri"/>
                <w:sz w:val="22"/>
              </w:rPr>
              <w:t>$14.8B</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Search Revenue</w:t>
            </w:r>
          </w:p>
        </w:tc>
        <w:tc>
          <w:tcPr>
            <w:tcW w:type="dxa" w:w="1440"/>
          </w:tcPr>
          <w:p>
            <w:r>
              <w:rPr>
                <w:rFonts w:ascii="Calibri" w:hAnsi="Calibri"/>
                <w:sz w:val="22"/>
              </w:rPr>
              <w:t>$56.6B</w:t>
            </w:r>
          </w:p>
        </w:tc>
        <w:tc>
          <w:tcPr>
            <w:tcW w:type="dxa" w:w="1440"/>
          </w:tcPr>
          <w:p>
            <w:r>
              <w:rPr>
                <w:rFonts w:ascii="Calibri" w:hAnsi="Calibri"/>
                <w:sz w:val="22"/>
              </w:rPr>
              <w:t>$55.1B</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Cloud Revenue</w:t>
            </w:r>
          </w:p>
        </w:tc>
        <w:tc>
          <w:tcPr>
            <w:tcW w:type="dxa" w:w="1440"/>
          </w:tcPr>
          <w:p>
            <w:r>
              <w:rPr>
                <w:rFonts w:ascii="Calibri" w:hAnsi="Calibri"/>
                <w:sz w:val="22"/>
              </w:rPr>
              <w:t>$13.6B</w:t>
            </w:r>
          </w:p>
        </w:tc>
        <w:tc>
          <w:tcPr>
            <w:tcW w:type="dxa" w:w="1440"/>
          </w:tcPr>
          <w:p>
            <w:r>
              <w:rPr>
                <w:rFonts w:ascii="Calibri" w:hAnsi="Calibri"/>
                <w:sz w:val="22"/>
              </w:rPr>
              <w:t>$13.1B</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Search Revenue</w:t>
            </w:r>
          </w:p>
        </w:tc>
        <w:tc>
          <w:tcPr>
            <w:tcW w:type="dxa" w:w="1440"/>
          </w:tcPr>
          <w:p>
            <w:r>
              <w:rPr>
                <w:rFonts w:ascii="Calibri" w:hAnsi="Calibri"/>
                <w:sz w:val="22"/>
              </w:rPr>
              <w:t>$54.2B</w:t>
            </w:r>
          </w:p>
        </w:tc>
        <w:tc>
          <w:tcPr>
            <w:tcW w:type="dxa" w:w="1440"/>
          </w:tcPr>
          <w:p>
            <w:r>
              <w:rPr>
                <w:rFonts w:ascii="Calibri" w:hAnsi="Calibri"/>
                <w:sz w:val="22"/>
              </w:rPr>
              <w:t>$52.9B</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Cloud Revenue</w:t>
            </w:r>
          </w:p>
        </w:tc>
        <w:tc>
          <w:tcPr>
            <w:tcW w:type="dxa" w:w="1440"/>
          </w:tcPr>
          <w:p>
            <w:r>
              <w:rPr>
                <w:rFonts w:ascii="Calibri" w:hAnsi="Calibri"/>
                <w:sz w:val="22"/>
              </w:rPr>
              <w:t>$12.3B</w:t>
            </w:r>
          </w:p>
        </w:tc>
        <w:tc>
          <w:tcPr>
            <w:tcW w:type="dxa" w:w="1440"/>
          </w:tcPr>
          <w:p>
            <w:r>
              <w:rPr>
                <w:rFonts w:ascii="Calibri" w:hAnsi="Calibri"/>
                <w:sz w:val="22"/>
              </w:rPr>
              <w:t>~$12.0B</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Search Revenue</w:t>
            </w:r>
          </w:p>
        </w:tc>
        <w:tc>
          <w:tcPr>
            <w:tcW w:type="dxa" w:w="1440"/>
          </w:tcPr>
          <w:p>
            <w:r>
              <w:rPr>
                <w:rFonts w:ascii="Calibri" w:hAnsi="Calibri"/>
                <w:sz w:val="22"/>
              </w:rPr>
              <w:t>$50.7B</w:t>
            </w:r>
          </w:p>
        </w:tc>
        <w:tc>
          <w:tcPr>
            <w:tcW w:type="dxa" w:w="1440"/>
          </w:tcPr>
          <w:p>
            <w:r>
              <w:rPr>
                <w:rFonts w:ascii="Calibri" w:hAnsi="Calibri"/>
                <w:sz w:val="22"/>
              </w:rPr>
              <w:t>~$49.5B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Cloud Revenue</w:t>
            </w:r>
          </w:p>
        </w:tc>
        <w:tc>
          <w:tcPr>
            <w:tcW w:type="dxa" w:w="1440"/>
          </w:tcPr>
          <w:p>
            <w:r>
              <w:rPr>
                <w:rFonts w:ascii="Calibri" w:hAnsi="Calibri"/>
                <w:sz w:val="22"/>
              </w:rPr>
              <w:t>$11.4B</w:t>
            </w:r>
          </w:p>
        </w:tc>
        <w:tc>
          <w:tcPr>
            <w:tcW w:type="dxa" w:w="1440"/>
          </w:tcPr>
          <w:p>
            <w:r>
              <w:rPr>
                <w:rFonts w:ascii="Calibri" w:hAnsi="Calibri"/>
                <w:sz w:val="22"/>
              </w:rPr>
              <w:t>~$12.2B</w:t>
            </w:r>
          </w:p>
        </w:tc>
        <w:tc>
          <w:tcPr>
            <w:tcW w:type="dxa" w:w="1440"/>
          </w:tcPr>
          <w:p>
            <w:r>
              <w:rPr>
                <w:rFonts w:ascii="Calibri" w:hAnsi="Calibri"/>
                <w:b/>
                <w:color w:val="E5484D"/>
                <w:sz w:val="22"/>
              </w:rPr>
              <w:t>-6.6%</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Search Revenue</w:t>
            </w:r>
          </w:p>
        </w:tc>
        <w:tc>
          <w:tcPr>
            <w:tcW w:type="dxa" w:w="1440"/>
          </w:tcPr>
          <w:p>
            <w:r>
              <w:rPr>
                <w:rFonts w:ascii="Calibri" w:hAnsi="Calibri"/>
                <w:sz w:val="22"/>
              </w:rPr>
              <w:t>$54.0B</w:t>
            </w:r>
          </w:p>
        </w:tc>
        <w:tc>
          <w:tcPr>
            <w:tcW w:type="dxa" w:w="1440"/>
          </w:tcPr>
          <w:p>
            <w:r>
              <w:rPr>
                <w:rFonts w:ascii="Calibri" w:hAnsi="Calibri"/>
                <w:sz w:val="22"/>
              </w:rPr>
              <w:t>~$53.8B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Cloud Revenue</w:t>
            </w:r>
          </w:p>
        </w:tc>
        <w:tc>
          <w:tcPr>
            <w:tcW w:type="dxa" w:w="1440"/>
          </w:tcPr>
          <w:p>
            <w:r>
              <w:rPr>
                <w:rFonts w:ascii="Calibri" w:hAnsi="Calibri"/>
                <w:sz w:val="22"/>
              </w:rPr>
              <w:t>$11.4B</w:t>
            </w:r>
          </w:p>
        </w:tc>
        <w:tc>
          <w:tcPr>
            <w:tcW w:type="dxa" w:w="1440"/>
          </w:tcPr>
          <w:p>
            <w:r>
              <w:rPr>
                <w:rFonts w:ascii="Calibri" w:hAnsi="Calibri"/>
                <w:sz w:val="22"/>
              </w:rPr>
              <w:t>~$10.9B</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Search Revenue</w:t>
            </w:r>
          </w:p>
        </w:tc>
        <w:tc>
          <w:tcPr>
            <w:tcW w:type="dxa" w:w="1440"/>
          </w:tcPr>
          <w:p>
            <w:r>
              <w:rPr>
                <w:rFonts w:ascii="Calibri" w:hAnsi="Calibri"/>
                <w:sz w:val="22"/>
              </w:rPr>
              <w:t>$49.4B</w:t>
            </w:r>
          </w:p>
        </w:tc>
        <w:tc>
          <w:tcPr>
            <w:tcW w:type="dxa" w:w="1440"/>
          </w:tcPr>
          <w:p>
            <w:r>
              <w:rPr>
                <w:rFonts w:ascii="Calibri" w:hAnsi="Calibri"/>
                <w:sz w:val="22"/>
              </w:rPr>
              <w:t>~$48.7B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Cloud Revenue</w:t>
            </w:r>
          </w:p>
        </w:tc>
        <w:tc>
          <w:tcPr>
            <w:tcW w:type="dxa" w:w="1440"/>
          </w:tcPr>
          <w:p>
            <w:r>
              <w:rPr>
                <w:rFonts w:ascii="Calibri" w:hAnsi="Calibri"/>
                <w:sz w:val="22"/>
              </w:rPr>
              <w:t>$10.4B</w:t>
            </w:r>
          </w:p>
        </w:tc>
        <w:tc>
          <w:tcPr>
            <w:tcW w:type="dxa" w:w="1440"/>
          </w:tcPr>
          <w:p>
            <w:r>
              <w:rPr>
                <w:rFonts w:ascii="Calibri" w:hAnsi="Calibri"/>
                <w:sz w:val="22"/>
              </w:rPr>
              <w:t>~$10.2B</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Search Revenue</w:t>
            </w:r>
          </w:p>
        </w:tc>
        <w:tc>
          <w:tcPr>
            <w:tcW w:type="dxa" w:w="1440"/>
          </w:tcPr>
          <w:p>
            <w:r>
              <w:rPr>
                <w:rFonts w:ascii="Calibri" w:hAnsi="Calibri"/>
                <w:sz w:val="22"/>
              </w:rPr>
              <w:t>$48.5B</w:t>
            </w:r>
          </w:p>
        </w:tc>
        <w:tc>
          <w:tcPr>
            <w:tcW w:type="dxa" w:w="1440"/>
          </w:tcPr>
          <w:p>
            <w:r>
              <w:rPr>
                <w:rFonts w:ascii="Calibri" w:hAnsi="Calibri"/>
                <w:sz w:val="22"/>
              </w:rPr>
              <w:t>~$47.5B</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bl>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Q2 2026 reporters (Netflix, July 16) and Q1 2026 reporters commenting on Q2 trends (Meta, Amazon, Microsoft, The Trade Desk, Pinterest, Snap) is broadly constructive for GOOGL's Q2 print. </w:t>
      </w:r>
      <w:r>
        <w:rPr>
          <w:rFonts w:ascii="Calibri" w:hAnsi="Calibri"/>
          <w:b/>
          <w:color w:val="525866"/>
          <w:sz w:val="22"/>
        </w:rPr>
        <w:t>Digital ad spending is accelerating</w:t>
      </w:r>
      <w:r>
        <w:rPr>
          <w:rFonts w:ascii="Calibri" w:hAnsi="Calibri"/>
          <w:color w:val="525866"/>
          <w:sz w:val="22"/>
        </w:rPr>
        <w:t>, cloud AI demand is surging, and agentic commerce is emerging as a new monetization vector — all tailwinds for Search, Cloud, and YouTube.</w:t>
      </w:r>
    </w:p>
    <w:p>
      <w:pPr>
        <w:pStyle w:val="Heading3"/>
      </w:pPr>
      <w:r>
        <w:rPr>
          <w:rFonts w:ascii="Calibri" w:hAnsi="Calibri"/>
          <w:b/>
          <w:color w:val="3B4259"/>
          <w:sz w:val="24"/>
        </w:rPr>
        <w:t>Meta Platforms (META) — Q1 2026 Earnings (April 29, 2026)</w:t>
      </w:r>
    </w:p>
    <w:p>
      <w:r>
        <w:rPr>
          <w:rFonts w:ascii="Calibri" w:hAnsi="Calibri"/>
          <w:b/>
          <w:color w:val="525866"/>
          <w:sz w:val="22"/>
        </w:rPr>
        <w:t xml:space="preserve">Read-Through Signal: </w:t>
      </w:r>
      <w:r>
        <w:rPr>
          <w:rFonts w:ascii="Calibri" w:hAnsi="Calibri"/>
          <w:color w:val="525866"/>
          <w:sz w:val="22"/>
        </w:rPr>
        <w:t>STRONGLY POSITIVE for GOOGL Search &amp; YouTube Ads</w:t>
      </w:r>
    </w:p>
    <w:p>
      <w:pPr>
        <w:pStyle w:val="ListBullet"/>
        <w:ind w:left="360" w:hanging="360"/>
      </w:pPr>
      <w:r>
        <w:rPr>
          <w:rFonts w:ascii="Calibri" w:hAnsi="Calibri"/>
          <w:b/>
          <w:color w:val="525866"/>
          <w:sz w:val="22"/>
        </w:rPr>
        <w:t xml:space="preserve">Digital ad market firing on all cylinders: </w:t>
      </w:r>
      <w:r>
        <w:rPr>
          <w:rFonts w:ascii="Calibri" w:hAnsi="Calibri"/>
          <w:color w:val="525866"/>
          <w:sz w:val="22"/>
        </w:rPr>
        <w:t>Meta's Q1 family of apps ad revenue grew 33% YoY to $55B, with total ad impressions up 19% and average price per ad up 12%. This is the strongest read-through for the overall digital advertising environment heading into GOOGL's Q2 print.</w:t>
      </w:r>
    </w:p>
    <w:p>
      <w:pPr>
        <w:pStyle w:val="ListBullet"/>
        <w:ind w:left="360" w:hanging="360"/>
      </w:pPr>
      <w:r>
        <w:rPr>
          <w:rFonts w:ascii="Calibri" w:hAnsi="Calibri"/>
          <w:b/>
          <w:color w:val="525866"/>
          <w:sz w:val="22"/>
        </w:rPr>
        <w:t xml:space="preserve">AI-driven ad performance improvements: </w:t>
      </w:r>
      <w:r>
        <w:rPr>
          <w:rFonts w:ascii="Calibri" w:hAnsi="Calibri"/>
          <w:color w:val="525866"/>
          <w:sz w:val="22"/>
        </w:rPr>
        <w:t>Meta reported a 6%+ increase in conversion rates for landing page view ads from AI model improvements, and 8M+ advertisers using Gen AI creative tools. This validates GOOGL's thesis that AI enhances ad monetization rather than disrupting it.</w:t>
      </w:r>
    </w:p>
    <w:p>
      <w:pPr>
        <w:pStyle w:val="ListBullet"/>
        <w:ind w:left="360" w:hanging="360"/>
      </w:pPr>
      <w:r>
        <w:rPr>
          <w:rFonts w:ascii="Calibri" w:hAnsi="Calibri"/>
          <w:b/>
          <w:color w:val="525866"/>
          <w:sz w:val="22"/>
        </w:rPr>
        <w:t>Q2 2026 guidance: $58–61B revenue</w:t>
      </w:r>
      <w:r>
        <w:rPr>
          <w:rFonts w:ascii="Calibri" w:hAnsi="Calibri"/>
          <w:color w:val="525866"/>
          <w:sz w:val="22"/>
        </w:rPr>
        <w:t xml:space="preserve"> (midpoint +30% YoY), with a ~2% FX tailwind — implies continued strong digital ad demand into Q2, directly supportive of GOOGL Search and YouTube ad consensus.</w:t>
      </w:r>
    </w:p>
    <w:p>
      <w:pPr>
        <w:pStyle w:val="ListBullet"/>
        <w:ind w:left="360" w:hanging="360"/>
      </w:pPr>
      <w:r>
        <w:rPr>
          <w:rFonts w:ascii="Calibri" w:hAnsi="Calibri"/>
          <w:b/>
          <w:color w:val="525866"/>
          <w:sz w:val="22"/>
        </w:rPr>
        <w:t xml:space="preserve">Agentic commerce emerging: </w:t>
      </w:r>
      <w:r>
        <w:rPr>
          <w:rFonts w:ascii="Calibri" w:hAnsi="Calibri"/>
          <w:color w:val="525866"/>
          <w:sz w:val="22"/>
        </w:rPr>
        <w:t>Meta's value optimization suite hit $20B+ annualized run rate (doubling YoY) and partnerships ads product hit $10B run rate. Validates GOOGL's Universal Commerce Protocol (UCP) strategy and agentic commerce monetization thesis.</w:t>
      </w:r>
    </w:p>
    <w:p>
      <w:pPr>
        <w:pStyle w:val="ListBullet"/>
        <w:ind w:left="360" w:hanging="360"/>
      </w:pPr>
      <w:r>
        <w:rPr>
          <w:rFonts w:ascii="Calibri" w:hAnsi="Calibri"/>
          <w:b/>
          <w:color w:val="525866"/>
          <w:sz w:val="22"/>
        </w:rPr>
        <w:t>CapEx raised to $125–145B for 2026</w:t>
      </w:r>
      <w:r>
        <w:rPr>
          <w:rFonts w:ascii="Calibri" w:hAnsi="Calibri"/>
          <w:color w:val="525866"/>
          <w:sz w:val="22"/>
        </w:rPr>
        <w:t xml:space="preserve"> (from $115–135B), driven by higher component costs (memory pricing). Signals industry-wide AI infrastructure demand remains robust — positive for GOOGL Cloud backlog conversion.</w:t>
      </w:r>
    </w:p>
    <w:p>
      <w:pPr>
        <w:pStyle w:val="Heading3"/>
      </w:pPr>
      <w:r>
        <w:rPr>
          <w:rFonts w:ascii="Calibri" w:hAnsi="Calibri"/>
          <w:b/>
          <w:color w:val="3B4259"/>
          <w:sz w:val="24"/>
        </w:rPr>
        <w:t>Amazon (AMZN) — Q1 2026 Earnings (April 29, 2026)</w:t>
      </w:r>
    </w:p>
    <w:p>
      <w:r>
        <w:rPr>
          <w:rFonts w:ascii="Calibri" w:hAnsi="Calibri"/>
          <w:b/>
          <w:color w:val="525866"/>
          <w:sz w:val="22"/>
        </w:rPr>
        <w:t xml:space="preserve">Read-Through Signal: </w:t>
      </w:r>
      <w:r>
        <w:rPr>
          <w:rFonts w:ascii="Calibri" w:hAnsi="Calibri"/>
          <w:color w:val="525866"/>
          <w:sz w:val="22"/>
        </w:rPr>
        <w:t>POSITIVE for GOOGL Cloud; MIXED for Search (agentic commerce competition)</w:t>
      </w:r>
    </w:p>
    <w:p>
      <w:pPr>
        <w:pStyle w:val="ListBullet"/>
        <w:ind w:left="360" w:hanging="360"/>
      </w:pPr>
      <w:r>
        <w:rPr>
          <w:rFonts w:ascii="Calibri" w:hAnsi="Calibri"/>
          <w:b/>
          <w:color w:val="525866"/>
          <w:sz w:val="22"/>
        </w:rPr>
        <w:t>AWS AI revenue run rate exceeds $15B</w:t>
      </w:r>
      <w:r>
        <w:rPr>
          <w:rFonts w:ascii="Calibri" w:hAnsi="Calibri"/>
          <w:color w:val="525866"/>
          <w:sz w:val="22"/>
        </w:rPr>
        <w:t xml:space="preserve"> in first 3 years of AI wave (260x larger than AWS's own run rate 3 years after launch), growing triple digits YoY. AWS backlog at $364B (not including $100B+ Anthropic deal). Validates the hyperscaler AI demand cycle that is also driving GOOGL Cloud's $462B backlog.</w:t>
      </w:r>
    </w:p>
    <w:p>
      <w:pPr>
        <w:pStyle w:val="ListBullet"/>
        <w:ind w:left="360" w:hanging="360"/>
      </w:pPr>
      <w:r>
        <w:rPr>
          <w:rFonts w:ascii="Calibri" w:hAnsi="Calibri"/>
          <w:b/>
          <w:color w:val="525866"/>
          <w:sz w:val="22"/>
        </w:rPr>
        <w:t>AWS grew 28% YoY in Q1</w:t>
      </w:r>
      <w:r>
        <w:rPr>
          <w:rFonts w:ascii="Calibri" w:hAnsi="Calibri"/>
          <w:color w:val="525866"/>
          <w:sz w:val="22"/>
        </w:rPr>
        <w:t xml:space="preserve"> — fastest in 15 quarters — with Bedrock seeing 170% growth in customer spend QoQ and processing more tokens in Q1 than all prior years combined. Competitive pressure on GOOGL Cloud is real, but the market is growing fast enough for multiple winners.</w:t>
      </w:r>
    </w:p>
    <w:p>
      <w:pPr>
        <w:pStyle w:val="ListBullet"/>
        <w:ind w:left="360" w:hanging="360"/>
      </w:pPr>
      <w:r>
        <w:rPr>
          <w:rFonts w:ascii="Calibri" w:hAnsi="Calibri"/>
          <w:b/>
          <w:color w:val="525866"/>
          <w:sz w:val="22"/>
        </w:rPr>
        <w:t>Amazon Ads grew 22% YoY to $17.2B</w:t>
      </w:r>
      <w:r>
        <w:rPr>
          <w:rFonts w:ascii="Calibri" w:hAnsi="Calibri"/>
          <w:color w:val="525866"/>
          <w:sz w:val="22"/>
        </w:rPr>
        <w:t xml:space="preserve"> in Q1, with Q2 guidance of $194–199B total revenue. Strong ad market read-through for GOOGL, though Amazon's commerce-native ad format is increasingly competitive with Google Shopping.</w:t>
      </w:r>
    </w:p>
    <w:p>
      <w:pPr>
        <w:pStyle w:val="ListBullet"/>
        <w:ind w:left="360" w:hanging="360"/>
      </w:pPr>
      <w:r>
        <w:rPr>
          <w:rFonts w:ascii="Calibri" w:hAnsi="Calibri"/>
          <w:b/>
          <w:color w:val="525866"/>
          <w:sz w:val="22"/>
        </w:rPr>
        <w:t xml:space="preserve">Agentic commerce: </w:t>
      </w:r>
      <w:r>
        <w:rPr>
          <w:rFonts w:ascii="Calibri" w:hAnsi="Calibri"/>
          <w:color w:val="525866"/>
          <w:sz w:val="22"/>
        </w:rPr>
        <w:t>CEO Andy Jassy explicitly said agentic commerce referrals to Amazon are currently a "small fraction" of search engine referrals, and the experience "hasn't gotten great yet." This is a near-term positive for GOOGL Search — the disruption risk from agentic commerce is real but not yet material.</w:t>
      </w:r>
    </w:p>
    <w:p>
      <w:pPr>
        <w:pStyle w:val="ListBullet"/>
        <w:ind w:left="360" w:hanging="360"/>
      </w:pPr>
      <w:r>
        <w:rPr>
          <w:rFonts w:ascii="Calibri" w:hAnsi="Calibri"/>
          <w:b/>
          <w:color w:val="525866"/>
          <w:sz w:val="22"/>
        </w:rPr>
        <w:t>Custom silicon (Trainium/Graviton) at $20B+ annualized run rate</w:t>
      </w:r>
      <w:r>
        <w:rPr>
          <w:rFonts w:ascii="Calibri" w:hAnsi="Calibri"/>
          <w:color w:val="525866"/>
          <w:sz w:val="22"/>
        </w:rPr>
        <w:t>, growing triple digits. Meta committed to tens of millions of Graviton cores. This validates GOOGL's own TPU hardware sales strategy as a new Cloud revenue stream.</w:t>
      </w:r>
    </w:p>
    <w:p>
      <w:pPr>
        <w:pStyle w:val="Heading3"/>
      </w:pPr>
      <w:r>
        <w:rPr>
          <w:rFonts w:ascii="Calibri" w:hAnsi="Calibri"/>
          <w:b/>
          <w:color w:val="3B4259"/>
          <w:sz w:val="24"/>
        </w:rPr>
        <w:t>Microsoft (MSFT) — FY2026 Q3 Earnings (April 29, 2026)</w:t>
      </w:r>
    </w:p>
    <w:p>
      <w:r>
        <w:rPr>
          <w:rFonts w:ascii="Calibri" w:hAnsi="Calibri"/>
          <w:b/>
          <w:color w:val="525866"/>
          <w:sz w:val="22"/>
        </w:rPr>
        <w:t xml:space="preserve">Read-Through Signal: </w:t>
      </w:r>
      <w:r>
        <w:rPr>
          <w:rFonts w:ascii="Calibri" w:hAnsi="Calibri"/>
          <w:color w:val="525866"/>
          <w:sz w:val="22"/>
        </w:rPr>
        <w:t>POSITIVE for GOOGL Cloud; NEUTRAL for Search</w:t>
      </w:r>
    </w:p>
    <w:p>
      <w:pPr>
        <w:pStyle w:val="ListBullet"/>
        <w:ind w:left="360" w:hanging="360"/>
      </w:pPr>
      <w:r>
        <w:rPr>
          <w:rFonts w:ascii="Calibri" w:hAnsi="Calibri"/>
          <w:b/>
          <w:color w:val="525866"/>
          <w:sz w:val="22"/>
        </w:rPr>
        <w:t>Microsoft Cloud revenue hit $54.5B (+29% YoY)</w:t>
      </w:r>
      <w:r>
        <w:rPr>
          <w:rFonts w:ascii="Calibri" w:hAnsi="Calibri"/>
          <w:color w:val="525866"/>
          <w:sz w:val="22"/>
        </w:rPr>
        <w:t>, with Azure growing 40% in constant currency — the fastest in years. AI ARR surpassed $37B (+123% YoY). Customer demand for Azure continues to exceed available capacity. This is the clearest industry-level validation that enterprise AI cloud demand is structural, not cyclical.</w:t>
      </w:r>
    </w:p>
    <w:p>
      <w:pPr>
        <w:pStyle w:val="ListBullet"/>
        <w:ind w:left="360" w:hanging="360"/>
      </w:pPr>
      <w:r>
        <w:rPr>
          <w:rFonts w:ascii="Calibri" w:hAnsi="Calibri"/>
          <w:b/>
          <w:color w:val="525866"/>
          <w:sz w:val="22"/>
        </w:rPr>
        <w:t>Microsoft 365 Copilot seats grew 250% YoY</w:t>
      </w:r>
      <w:r>
        <w:rPr>
          <w:rFonts w:ascii="Calibri" w:hAnsi="Calibri"/>
          <w:color w:val="525866"/>
          <w:sz w:val="22"/>
        </w:rPr>
        <w:t xml:space="preserve"> to 20M+ paid seats. Enterprise AI adoption is accelerating broadly, which is positive for GOOGL's Gemini Enterprise (40% QoQ MAU growth in Q1) and Cloud AI solutions.</w:t>
      </w:r>
    </w:p>
    <w:p>
      <w:pPr>
        <w:pStyle w:val="ListBullet"/>
        <w:ind w:left="360" w:hanging="360"/>
      </w:pPr>
      <w:r>
        <w:rPr>
          <w:rFonts w:ascii="Calibri" w:hAnsi="Calibri"/>
          <w:b/>
          <w:color w:val="525866"/>
          <w:sz w:val="22"/>
        </w:rPr>
        <w:t>Q4 FY2026 guidance: Azure growth of 39–40% in constant currency</w:t>
      </w:r>
      <w:r>
        <w:rPr>
          <w:rFonts w:ascii="Calibri" w:hAnsi="Calibri"/>
          <w:color w:val="525866"/>
          <w:sz w:val="22"/>
        </w:rPr>
        <w:t>, with modest acceleration expected in H2 calendar 2026. This is a direct positive read-through for GOOGL Cloud's Q2 and H2 2026 trajectory.</w:t>
      </w:r>
    </w:p>
    <w:p>
      <w:pPr>
        <w:pStyle w:val="ListBullet"/>
        <w:ind w:left="360" w:hanging="360"/>
      </w:pPr>
      <w:r>
        <w:rPr>
          <w:rFonts w:ascii="Calibri" w:hAnsi="Calibri"/>
          <w:b/>
          <w:color w:val="525866"/>
          <w:sz w:val="22"/>
        </w:rPr>
        <w:t>Search advertising ex-TAC grew 12% (9% constant currency)</w:t>
      </w:r>
      <w:r>
        <w:rPr>
          <w:rFonts w:ascii="Calibri" w:hAnsi="Calibri"/>
          <w:color w:val="525866"/>
          <w:sz w:val="22"/>
        </w:rPr>
        <w:t>, driven by Bing/Edge share gains. Bing MAUs reached 1 billion for the first time. While competitive, this validates the overall search advertising market is healthy — GOOGL's 19% Search growth in Q1 is outpacing Bing's 12%.</w:t>
      </w:r>
    </w:p>
    <w:p>
      <w:pPr>
        <w:pStyle w:val="ListBullet"/>
        <w:ind w:left="360" w:hanging="360"/>
      </w:pPr>
      <w:r>
        <w:rPr>
          <w:rFonts w:ascii="Calibri" w:hAnsi="Calibri"/>
          <w:b/>
          <w:color w:val="525866"/>
          <w:sz w:val="22"/>
        </w:rPr>
        <w:t>CapEx expected to increase to $40B+ in Q4 FY2026</w:t>
      </w:r>
      <w:r>
        <w:rPr>
          <w:rFonts w:ascii="Calibri" w:hAnsi="Calibri"/>
          <w:color w:val="525866"/>
          <w:sz w:val="22"/>
        </w:rPr>
        <w:t>; calendar 2026 CapEx guided to ~$190B (including ~$25B from higher component pricing). Confirms industry-wide infrastructure investment cycle is intact.</w:t>
      </w:r>
    </w:p>
    <w:p>
      <w:pPr>
        <w:pStyle w:val="Heading3"/>
      </w:pPr>
      <w:r>
        <w:rPr>
          <w:rFonts w:ascii="Calibri" w:hAnsi="Calibri"/>
          <w:b/>
          <w:color w:val="3B4259"/>
          <w:sz w:val="24"/>
        </w:rPr>
        <w:t>Netflix (NFLX) — Q2 2026 Earnings (July 16, 2026) — Most Recent Peer Print</w:t>
      </w:r>
    </w:p>
    <w:p>
      <w:r>
        <w:rPr>
          <w:rFonts w:ascii="Calibri" w:hAnsi="Calibri"/>
          <w:b/>
          <w:color w:val="525866"/>
          <w:sz w:val="22"/>
        </w:rPr>
        <w:t xml:space="preserve">Read-Through Signal: </w:t>
      </w:r>
      <w:r>
        <w:rPr>
          <w:rFonts w:ascii="Calibri" w:hAnsi="Calibri"/>
          <w:color w:val="525866"/>
          <w:sz w:val="22"/>
        </w:rPr>
        <w:t>POSITIVE for GOOGL YouTube Ads; POSITIVE for overall digital ad market</w:t>
      </w:r>
    </w:p>
    <w:p>
      <w:pPr>
        <w:pStyle w:val="ListBullet"/>
        <w:ind w:left="360" w:hanging="360"/>
      </w:pPr>
      <w:r>
        <w:rPr>
          <w:rFonts w:ascii="Calibri" w:hAnsi="Calibri"/>
          <w:b/>
          <w:color w:val="525866"/>
          <w:sz w:val="22"/>
        </w:rPr>
        <w:t>Netflix reported Q2 2026 results just 6 days before GOOGL's print</w:t>
      </w:r>
      <w:r>
        <w:rPr>
          <w:rFonts w:ascii="Calibri" w:hAnsi="Calibri"/>
          <w:color w:val="525866"/>
          <w:sz w:val="22"/>
        </w:rPr>
        <w:t>, making this the most timely read-through. Netflix is tracking to its full-year plan of 13–14% top-line growth, with Q3 guided to 12% revenue growth. Strong advertiser demand was explicitly cited.</w:t>
      </w:r>
    </w:p>
    <w:p>
      <w:pPr>
        <w:pStyle w:val="ListBullet"/>
        <w:ind w:left="360" w:hanging="360"/>
      </w:pPr>
      <w:r>
        <w:rPr>
          <w:rFonts w:ascii="Calibri" w:hAnsi="Calibri"/>
          <w:b/>
          <w:color w:val="525866"/>
          <w:sz w:val="22"/>
        </w:rPr>
        <w:t>"Strong advertiser demand" and narrowing ARPM gap</w:t>
      </w:r>
      <w:r>
        <w:rPr>
          <w:rFonts w:ascii="Calibri" w:hAnsi="Calibri"/>
          <w:color w:val="525866"/>
          <w:sz w:val="22"/>
        </w:rPr>
        <w:t xml:space="preserve"> between ad-tier and ad-free tiers. Netflix's ads business is scaling, with live programming (Kevin Hart roast, MLB Home Run Derby) driving ad revenue acceleration. This validates the premium video advertising market is healthy — a direct positive for YouTube's dual-revenue model.</w:t>
      </w:r>
    </w:p>
    <w:p>
      <w:pPr>
        <w:pStyle w:val="ListBullet"/>
        <w:ind w:left="360" w:hanging="360"/>
      </w:pPr>
      <w:r>
        <w:rPr>
          <w:rFonts w:ascii="Calibri" w:hAnsi="Calibri"/>
          <w:b/>
          <w:color w:val="525866"/>
          <w:sz w:val="22"/>
        </w:rPr>
        <w:t>Netflix repurchased $4.7B of shares in Q2</w:t>
      </w:r>
      <w:r>
        <w:rPr>
          <w:rFonts w:ascii="Calibri" w:hAnsi="Calibri"/>
          <w:color w:val="525866"/>
          <w:sz w:val="22"/>
        </w:rPr>
        <w:t xml:space="preserve"> — its largest buyback quarter ever — signaling management confidence in the business. Positive sentiment read-through for the broader media/tech sector.</w:t>
      </w:r>
    </w:p>
    <w:p>
      <w:pPr>
        <w:pStyle w:val="ListBullet"/>
        <w:ind w:left="360" w:hanging="360"/>
      </w:pPr>
      <w:r>
        <w:rPr>
          <w:rFonts w:ascii="Calibri" w:hAnsi="Calibri"/>
          <w:b/>
          <w:color w:val="525866"/>
          <w:sz w:val="22"/>
        </w:rPr>
        <w:t xml:space="preserve">Gen AI in content production: </w:t>
      </w:r>
      <w:r>
        <w:rPr>
          <w:rFonts w:ascii="Calibri" w:hAnsi="Calibri"/>
          <w:color w:val="525866"/>
          <w:sz w:val="22"/>
        </w:rPr>
        <w:t>Netflix used gen AI workflows in ~300 titles, with the largest concentration in post-production. AI-enhanced footage produced 2x faster at half the cost. This validates GOOGL's thesis that AI reduces content production costs, which could benefit YouTube's creator ecosystem.</w:t>
      </w:r>
    </w:p>
    <w:p>
      <w:pPr>
        <w:pStyle w:val="ListBullet"/>
        <w:ind w:left="360" w:hanging="360"/>
      </w:pPr>
      <w:r>
        <w:rPr>
          <w:rFonts w:ascii="Calibri" w:hAnsi="Calibri"/>
          <w:b/>
          <w:color w:val="525866"/>
          <w:sz w:val="22"/>
        </w:rPr>
        <w:t>Q3 revenue drivers "very similar to Q2"</w:t>
      </w:r>
      <w:r>
        <w:rPr>
          <w:rFonts w:ascii="Calibri" w:hAnsi="Calibri"/>
          <w:color w:val="525866"/>
          <w:sz w:val="22"/>
        </w:rPr>
        <w:t xml:space="preserve"> — subscription revenue growth from memberships/pricing plus higher ads revenue. Consistent ad market backdrop into Q3 is supportive of GOOGL's H2 2026 estimates.</w:t>
      </w:r>
    </w:p>
    <w:p>
      <w:pPr>
        <w:pStyle w:val="Heading3"/>
      </w:pPr>
      <w:r>
        <w:rPr>
          <w:rFonts w:ascii="Calibri" w:hAnsi="Calibri"/>
          <w:b/>
          <w:color w:val="3B4259"/>
          <w:sz w:val="24"/>
        </w:rPr>
        <w:t>The Trade Desk (TTD) — Q1 2026 Earnings (May 7, 2026)</w:t>
      </w:r>
    </w:p>
    <w:p>
      <w:r>
        <w:rPr>
          <w:rFonts w:ascii="Calibri" w:hAnsi="Calibri"/>
          <w:b/>
          <w:color w:val="525866"/>
          <w:sz w:val="22"/>
        </w:rPr>
        <w:t xml:space="preserve">Read-Through Signal: </w:t>
      </w:r>
      <w:r>
        <w:rPr>
          <w:rFonts w:ascii="Calibri" w:hAnsi="Calibri"/>
          <w:color w:val="525866"/>
          <w:sz w:val="22"/>
        </w:rPr>
        <w:t>POSITIVE for GOOGL Search &amp; YouTube; CAUTIONARY on macro complexity</w:t>
      </w:r>
    </w:p>
    <w:p>
      <w:pPr>
        <w:pStyle w:val="ListBullet"/>
        <w:ind w:left="360" w:hanging="360"/>
      </w:pPr>
      <w:r>
        <w:rPr>
          <w:rFonts w:ascii="Calibri" w:hAnsi="Calibri"/>
          <w:b/>
          <w:color w:val="525866"/>
          <w:sz w:val="22"/>
        </w:rPr>
        <w:t>Q2 2026 guidance: revenue "at least $750M" (+9% YoY)</w:t>
      </w:r>
      <w:r>
        <w:rPr>
          <w:rFonts w:ascii="Calibri" w:hAnsi="Calibri"/>
          <w:color w:val="525866"/>
          <w:sz w:val="22"/>
        </w:rPr>
        <w:t>, with adjusted EBITDA of ~$260M. TTD's guidance implies continued programmatic ad market growth, though the macro environment is described as "more complex" with geopolitical tensions and tariffs creating headwinds for some categories (CPG, Home &amp; Garden).</w:t>
      </w:r>
    </w:p>
    <w:p>
      <w:pPr>
        <w:pStyle w:val="ListBullet"/>
        <w:ind w:left="360" w:hanging="360"/>
      </w:pPr>
      <w:r>
        <w:rPr>
          <w:rFonts w:ascii="Calibri" w:hAnsi="Calibri"/>
          <w:b/>
          <w:color w:val="525866"/>
          <w:sz w:val="22"/>
        </w:rPr>
        <w:t>AI search engines (ChatGPT, Perplexity, Gemini) seen as a "tremendous opportunity"</w:t>
      </w:r>
      <w:r>
        <w:rPr>
          <w:rFonts w:ascii="Calibri" w:hAnsi="Calibri"/>
          <w:color w:val="525866"/>
          <w:sz w:val="22"/>
        </w:rPr>
        <w:t xml:space="preserve"> for programmatic advertising. TTD CEO Jeff Green noted these platforms face the same monetization challenge Netflix faced early on, and believes they will adopt advertising — validating GOOGL's AI Mode monetization strategy.</w:t>
      </w:r>
    </w:p>
    <w:p>
      <w:pPr>
        <w:pStyle w:val="ListBullet"/>
        <w:ind w:left="360" w:hanging="360"/>
      </w:pPr>
      <w:r>
        <w:rPr>
          <w:rFonts w:ascii="Calibri" w:hAnsi="Calibri"/>
          <w:b/>
          <w:color w:val="525866"/>
          <w:sz w:val="22"/>
        </w:rPr>
        <w:t>CTV now "low-50s percent" of TTD's business</w:t>
      </w:r>
      <w:r>
        <w:rPr>
          <w:rFonts w:ascii="Calibri" w:hAnsi="Calibri"/>
          <w:color w:val="525866"/>
          <w:sz w:val="22"/>
        </w:rPr>
        <w:t xml:space="preserve"> and growing. Audio growing faster than any other channel. This validates YouTube's CTV strategy (200M+ hours/day in U.S. living rooms) and the shift of linear TV budgets to streaming.</w:t>
      </w:r>
    </w:p>
    <w:p>
      <w:pPr>
        <w:pStyle w:val="ListBullet"/>
        <w:ind w:left="360" w:hanging="360"/>
      </w:pPr>
      <w:r>
        <w:rPr>
          <w:rFonts w:ascii="Calibri" w:hAnsi="Calibri"/>
          <w:b/>
          <w:color w:val="525866"/>
          <w:sz w:val="22"/>
        </w:rPr>
        <w:t>JBP signings grew 55% YoY in Q1</w:t>
      </w:r>
      <w:r>
        <w:rPr>
          <w:rFonts w:ascii="Calibri" w:hAnsi="Calibri"/>
          <w:color w:val="525866"/>
          <w:sz w:val="22"/>
        </w:rPr>
        <w:t>, with March being TTD's biggest JBP month ever. Advertisers are committing larger, longer-term budgets to programmatic — positive for GOOGL's ad platform.</w:t>
      </w:r>
    </w:p>
    <w:p>
      <w:pPr>
        <w:pStyle w:val="ListBullet"/>
        <w:ind w:left="360" w:hanging="360"/>
      </w:pPr>
      <w:r>
        <w:rPr>
          <w:rFonts w:ascii="Calibri" w:hAnsi="Calibri"/>
          <w:b/>
          <w:color w:val="525866"/>
          <w:sz w:val="22"/>
        </w:rPr>
        <w:t xml:space="preserve">Macro caution: </w:t>
      </w:r>
      <w:r>
        <w:rPr>
          <w:rFonts w:ascii="Calibri" w:hAnsi="Calibri"/>
          <w:color w:val="525866"/>
          <w:sz w:val="22"/>
        </w:rPr>
        <w:t>CPG brands navigating "geopolitical uncertainty, consumer softness, and input cost inflation." Some pressure in Home &amp; Garden and Food &amp; Drink. This is a mild headwind for GOOGL's broad-based advertiser base, though GOOGL's diversification across verticals limits exposure.</w:t>
      </w:r>
    </w:p>
    <w:p>
      <w:pPr>
        <w:pStyle w:val="Heading3"/>
      </w:pPr>
      <w:r>
        <w:rPr>
          <w:rFonts w:ascii="Calibri" w:hAnsi="Calibri"/>
          <w:b/>
          <w:color w:val="3B4259"/>
          <w:sz w:val="24"/>
        </w:rPr>
        <w:t>Pinterest (PINS) — Q1 2026 Earnings (May 4, 2026)</w:t>
      </w:r>
    </w:p>
    <w:p>
      <w:r>
        <w:rPr>
          <w:rFonts w:ascii="Calibri" w:hAnsi="Calibri"/>
          <w:b/>
          <w:color w:val="525866"/>
          <w:sz w:val="22"/>
        </w:rPr>
        <w:t xml:space="preserve">Read-Through Signal: </w:t>
      </w:r>
      <w:r>
        <w:rPr>
          <w:rFonts w:ascii="Calibri" w:hAnsi="Calibri"/>
          <w:color w:val="525866"/>
          <w:sz w:val="22"/>
        </w:rPr>
        <w:t>POSITIVE for GOOGL Search &amp; Shopping; POSITIVE for digital ad market</w:t>
      </w:r>
    </w:p>
    <w:p>
      <w:pPr>
        <w:pStyle w:val="ListBullet"/>
        <w:ind w:left="360" w:hanging="360"/>
      </w:pPr>
      <w:r>
        <w:rPr>
          <w:rFonts w:ascii="Calibri" w:hAnsi="Calibri"/>
          <w:b/>
          <w:color w:val="525866"/>
          <w:sz w:val="22"/>
        </w:rPr>
        <w:t>Revenue grew 18% YoY to $1.0B</w:t>
      </w:r>
      <w:r>
        <w:rPr>
          <w:rFonts w:ascii="Calibri" w:hAnsi="Calibri"/>
          <w:color w:val="525866"/>
          <w:sz w:val="22"/>
        </w:rPr>
        <w:t>, above guidance, with global MAUs at a record 631M (+11% YoY). Q2 2026 guidance of $1.133–1.153B (+14–16% YoY) implies continued healthy digital ad spending.</w:t>
      </w:r>
    </w:p>
    <w:p>
      <w:pPr>
        <w:pStyle w:val="ListBullet"/>
        <w:ind w:left="360" w:hanging="360"/>
      </w:pPr>
      <w:r>
        <w:rPr>
          <w:rFonts w:ascii="Calibri" w:hAnsi="Calibri"/>
          <w:b/>
          <w:color w:val="525866"/>
          <w:sz w:val="22"/>
        </w:rPr>
        <w:t>Ad market "relatively consistent" with Q4 2025</w:t>
      </w:r>
      <w:r>
        <w:rPr>
          <w:rFonts w:ascii="Calibri" w:hAnsi="Calibri"/>
          <w:color w:val="525866"/>
          <w:sz w:val="22"/>
        </w:rPr>
        <w:t xml:space="preserve"> — no macro deterioration observed. Large retailer headwind partially offset by AI-driven bidding optimizations. Validates GOOGL's thesis that AI improves ad platform performance even in a mixed macro environment.</w:t>
      </w:r>
    </w:p>
    <w:p>
      <w:pPr>
        <w:pStyle w:val="ListBullet"/>
        <w:ind w:left="360" w:hanging="360"/>
      </w:pPr>
      <w:r>
        <w:rPr>
          <w:rFonts w:ascii="Calibri" w:hAnsi="Calibri"/>
          <w:b/>
          <w:color w:val="525866"/>
          <w:sz w:val="22"/>
        </w:rPr>
        <w:t xml:space="preserve">Visual search and shopping intent: </w:t>
      </w:r>
      <w:r>
        <w:rPr>
          <w:rFonts w:ascii="Calibri" w:hAnsi="Calibri"/>
          <w:color w:val="525866"/>
          <w:sz w:val="22"/>
        </w:rPr>
        <w:t>Pinterest's 80B+ monthly searches are 50% commercial in nature (vs. only 2% of ChatGPT prompts). This validates GOOGL's positioning that commercial intent remains concentrated in search/visual platforms, not general-purpose AI chatbots — a direct rebuttal to the AI search disruption bear case.</w:t>
      </w:r>
    </w:p>
    <w:p>
      <w:pPr>
        <w:pStyle w:val="ListBullet"/>
        <w:ind w:left="360" w:hanging="360"/>
      </w:pPr>
      <w:r>
        <w:rPr>
          <w:rFonts w:ascii="Calibri" w:hAnsi="Calibri"/>
          <w:b/>
          <w:color w:val="525866"/>
          <w:sz w:val="22"/>
        </w:rPr>
        <w:t>Pinterest Performance+ (AI ad suite) now drives ~30% of lower-funnel revenue</w:t>
      </w:r>
      <w:r>
        <w:rPr>
          <w:rFonts w:ascii="Calibri" w:hAnsi="Calibri"/>
          <w:color w:val="525866"/>
          <w:sz w:val="22"/>
        </w:rPr>
        <w:t>, with adopters growing spend nearly 2x non-adopters. Validates GOOGL's AI Max and Performance Max ad products as growth drivers.</w:t>
      </w:r>
    </w:p>
    <w:p>
      <w:pPr>
        <w:pStyle w:val="ListBullet"/>
        <w:ind w:left="360" w:hanging="360"/>
      </w:pPr>
      <w:r>
        <w:rPr>
          <w:rFonts w:ascii="Calibri" w:hAnsi="Calibri"/>
          <w:b/>
          <w:color w:val="525866"/>
          <w:sz w:val="22"/>
        </w:rPr>
        <w:t>FX tailwind of ~1pt in Q2</w:t>
      </w:r>
      <w:r>
        <w:rPr>
          <w:rFonts w:ascii="Calibri" w:hAnsi="Calibri"/>
          <w:color w:val="525866"/>
          <w:sz w:val="22"/>
        </w:rPr>
        <w:t xml:space="preserve"> — consistent with GOOGL's own Q2 FX guidance of ~1pt tailwind.</w:t>
      </w:r>
    </w:p>
    <w:p>
      <w:pPr>
        <w:pStyle w:val="Heading3"/>
      </w:pPr>
      <w:r>
        <w:rPr>
          <w:rFonts w:ascii="Calibri" w:hAnsi="Calibri"/>
          <w:b/>
          <w:color w:val="3B4259"/>
          <w:sz w:val="24"/>
        </w:rPr>
        <w:t>Snap Inc. (SNAP) — Q1 2026 Earnings (May 6, 2026)</w:t>
      </w:r>
    </w:p>
    <w:p>
      <w:r>
        <w:rPr>
          <w:rFonts w:ascii="Calibri" w:hAnsi="Calibri"/>
          <w:b/>
          <w:color w:val="525866"/>
          <w:sz w:val="22"/>
        </w:rPr>
        <w:t xml:space="preserve">Read-Through Signal: </w:t>
      </w:r>
      <w:r>
        <w:rPr>
          <w:rFonts w:ascii="Calibri" w:hAnsi="Calibri"/>
          <w:color w:val="525866"/>
          <w:sz w:val="22"/>
        </w:rPr>
        <w:t>MIXED — positive on SMB/DR strength; cautionary on large advertiser recovery pace</w:t>
      </w:r>
    </w:p>
    <w:p>
      <w:pPr>
        <w:pStyle w:val="ListBullet"/>
        <w:ind w:left="360" w:hanging="360"/>
      </w:pPr>
      <w:r>
        <w:rPr>
          <w:rFonts w:ascii="Calibri" w:hAnsi="Calibri"/>
          <w:b/>
          <w:color w:val="525866"/>
          <w:sz w:val="22"/>
        </w:rPr>
        <w:t>Total revenue grew 12% YoY to $1.53B</w:t>
      </w:r>
      <w:r>
        <w:rPr>
          <w:rFonts w:ascii="Calibri" w:hAnsi="Calibri"/>
          <w:color w:val="525866"/>
          <w:sz w:val="22"/>
        </w:rPr>
        <w:t>, but advertising revenue grew only 3% YoY. Large advertisers in North America remained a headwind, with North America ad revenue down ~7%. This is a cautionary signal for GOOGL's YouTube brand advertising, though GOOGL's scale and diversification make it far less exposed.</w:t>
      </w:r>
    </w:p>
    <w:p>
      <w:pPr>
        <w:pStyle w:val="ListBullet"/>
        <w:ind w:left="360" w:hanging="360"/>
      </w:pPr>
      <w:r>
        <w:rPr>
          <w:rFonts w:ascii="Calibri" w:hAnsi="Calibri"/>
          <w:b/>
          <w:color w:val="525866"/>
          <w:sz w:val="22"/>
        </w:rPr>
        <w:t>Q2 2026 guidance: $1.52–1.55B revenue</w:t>
      </w:r>
      <w:r>
        <w:rPr>
          <w:rFonts w:ascii="Calibri" w:hAnsi="Calibri"/>
          <w:color w:val="525866"/>
          <w:sz w:val="22"/>
        </w:rPr>
        <w:t xml:space="preserve"> (implying ~2pt acceleration at midpoint vs. Q1), driven by North America ads strength. Early signs of large advertiser recovery are positive for GOOGL's YouTube brand advertising.</w:t>
      </w:r>
    </w:p>
    <w:p>
      <w:pPr>
        <w:pStyle w:val="ListBullet"/>
        <w:ind w:left="360" w:hanging="360"/>
      </w:pPr>
      <w:r>
        <w:rPr>
          <w:rFonts w:ascii="Calibri" w:hAnsi="Calibri"/>
          <w:b/>
          <w:color w:val="525866"/>
          <w:sz w:val="22"/>
        </w:rPr>
        <w:t>SMBs grew spend 30%+ YoY in North America</w:t>
      </w:r>
      <w:r>
        <w:rPr>
          <w:rFonts w:ascii="Calibri" w:hAnsi="Calibri"/>
          <w:color w:val="525866"/>
          <w:sz w:val="22"/>
        </w:rPr>
        <w:t xml:space="preserve"> and accounted for 30%+ of global ad revenue for the 7th consecutive quarter. SMB strength is a consistent theme across peers — positive for GOOGL's broad advertiser base.</w:t>
      </w:r>
    </w:p>
    <w:p>
      <w:pPr>
        <w:pStyle w:val="ListBullet"/>
        <w:ind w:left="360" w:hanging="360"/>
      </w:pPr>
      <w:r>
        <w:rPr>
          <w:rFonts w:ascii="Calibri" w:hAnsi="Calibri"/>
          <w:b/>
          <w:color w:val="525866"/>
          <w:sz w:val="22"/>
        </w:rPr>
        <w:t>Geopolitical headwinds in Middle East: ~$20–25M impact in March</w:t>
      </w:r>
      <w:r>
        <w:rPr>
          <w:rFonts w:ascii="Calibri" w:hAnsi="Calibri"/>
          <w:color w:val="525866"/>
          <w:sz w:val="22"/>
        </w:rPr>
        <w:t>. GOOGL's larger scale means this is a smaller percentage impact, but worth monitoring for Q2 YouTube international revenue.</w:t>
      </w:r>
    </w:p>
    <w:p>
      <w:pPr>
        <w:pStyle w:val="ListBullet"/>
        <w:ind w:left="360" w:hanging="360"/>
      </w:pPr>
      <w:r>
        <w:rPr>
          <w:rFonts w:ascii="Calibri" w:hAnsi="Calibri"/>
          <w:b/>
          <w:color w:val="525866"/>
          <w:sz w:val="22"/>
        </w:rPr>
        <w:t>North America upfront commitments for 2026 grew ~10% YoY</w:t>
      </w:r>
      <w:r>
        <w:rPr>
          <w:rFonts w:ascii="Calibri" w:hAnsi="Calibri"/>
          <w:color w:val="525866"/>
          <w:sz w:val="22"/>
        </w:rPr>
        <w:t xml:space="preserve"> — agencies and advertisers increasingly willing to commit budgets as performance improves. Positive for GOOGL's YouTube upfront commitments.</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GOOGL Implication</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Netflix (NFLX)</w:t>
            </w:r>
          </w:p>
        </w:tc>
        <w:tc>
          <w:tcPr>
            <w:tcW w:type="dxa" w:w="1728"/>
          </w:tcPr>
          <w:p>
            <w:r>
              <w:rPr>
                <w:rFonts w:ascii="Calibri" w:hAnsi="Calibri"/>
                <w:sz w:val="22"/>
              </w:rPr>
              <w:t>Jul 16, 2026</w:t>
            </w:r>
          </w:p>
        </w:tc>
        <w:tc>
          <w:tcPr>
            <w:tcW w:type="dxa" w:w="1728"/>
          </w:tcPr>
          <w:p>
            <w:r>
              <w:rPr>
                <w:rFonts w:ascii="Calibri" w:hAnsi="Calibri"/>
                <w:sz w:val="22"/>
              </w:rPr>
              <w:t>Strong advertiser demand; tracking FY plan; 13–14% revenue growth</w:t>
            </w:r>
          </w:p>
        </w:tc>
        <w:tc>
          <w:tcPr>
            <w:tcW w:type="dxa" w:w="1728"/>
          </w:tcPr>
          <w:p>
            <w:r>
              <w:rPr>
                <w:rFonts w:ascii="Calibri" w:hAnsi="Calibri"/>
                <w:sz w:val="22"/>
              </w:rPr>
              <w:t>Positive for YouTube Ads &amp; premium video ad market</w:t>
            </w:r>
          </w:p>
        </w:tc>
        <w:tc>
          <w:tcPr>
            <w:tcW w:type="dxa" w:w="1728"/>
          </w:tcPr>
          <w:p>
            <w:r>
              <w:rPr>
                <w:rFonts w:ascii="Calibri" w:hAnsi="Calibri"/>
                <w:b/>
                <w:color w:val="30A46C"/>
                <w:sz w:val="22"/>
              </w:rPr>
              <w:t>⬆ Positive</w:t>
            </w:r>
          </w:p>
        </w:tc>
      </w:tr>
      <w:tr>
        <w:tc>
          <w:tcPr>
            <w:tcW w:type="dxa" w:w="1728"/>
          </w:tcPr>
          <w:p>
            <w:r>
              <w:rPr>
                <w:rFonts w:ascii="Calibri" w:hAnsi="Calibri"/>
                <w:sz w:val="22"/>
              </w:rPr>
              <w:t>Meta (META)</w:t>
            </w:r>
          </w:p>
        </w:tc>
        <w:tc>
          <w:tcPr>
            <w:tcW w:type="dxa" w:w="1728"/>
          </w:tcPr>
          <w:p>
            <w:r>
              <w:rPr>
                <w:rFonts w:ascii="Calibri" w:hAnsi="Calibri"/>
                <w:sz w:val="22"/>
              </w:rPr>
              <w:t>Apr 29, 2026</w:t>
            </w:r>
          </w:p>
        </w:tc>
        <w:tc>
          <w:tcPr>
            <w:tcW w:type="dxa" w:w="1728"/>
          </w:tcPr>
          <w:p>
            <w:r>
              <w:rPr>
                <w:rFonts w:ascii="Calibri" w:hAnsi="Calibri"/>
                <w:sz w:val="22"/>
              </w:rPr>
              <w:t>Ad revenue +33% YoY; Q2 guided $58–61B; AI ad tools driving conversion gains</w:t>
            </w:r>
          </w:p>
        </w:tc>
        <w:tc>
          <w:tcPr>
            <w:tcW w:type="dxa" w:w="1728"/>
          </w:tcPr>
          <w:p>
            <w:r>
              <w:rPr>
                <w:rFonts w:ascii="Calibri" w:hAnsi="Calibri"/>
                <w:sz w:val="22"/>
              </w:rPr>
              <w:t>Positive for Search &amp; YouTube Ads; validates AI monetization thesis</w:t>
            </w:r>
          </w:p>
        </w:tc>
        <w:tc>
          <w:tcPr>
            <w:tcW w:type="dxa" w:w="1728"/>
          </w:tcPr>
          <w:p>
            <w:r>
              <w:rPr>
                <w:rFonts w:ascii="Calibri" w:hAnsi="Calibri"/>
                <w:b/>
                <w:color w:val="30A46C"/>
                <w:sz w:val="22"/>
              </w:rPr>
              <w:t>⬆ Positive</w:t>
            </w:r>
          </w:p>
        </w:tc>
      </w:tr>
      <w:tr>
        <w:tc>
          <w:tcPr>
            <w:tcW w:type="dxa" w:w="1728"/>
          </w:tcPr>
          <w:p>
            <w:r>
              <w:rPr>
                <w:rFonts w:ascii="Calibri" w:hAnsi="Calibri"/>
                <w:sz w:val="22"/>
              </w:rPr>
              <w:t>Amazon (AMZN)</w:t>
            </w:r>
          </w:p>
        </w:tc>
        <w:tc>
          <w:tcPr>
            <w:tcW w:type="dxa" w:w="1728"/>
          </w:tcPr>
          <w:p>
            <w:r>
              <w:rPr>
                <w:rFonts w:ascii="Calibri" w:hAnsi="Calibri"/>
                <w:sz w:val="22"/>
              </w:rPr>
              <w:t>Apr 29, 2026</w:t>
            </w:r>
          </w:p>
        </w:tc>
        <w:tc>
          <w:tcPr>
            <w:tcW w:type="dxa" w:w="1728"/>
          </w:tcPr>
          <w:p>
            <w:r>
              <w:rPr>
                <w:rFonts w:ascii="Calibri" w:hAnsi="Calibri"/>
                <w:sz w:val="22"/>
              </w:rPr>
              <w:t>AWS +28% YoY (fastest in 15 qtrs); Ads +22%; agentic commerce early-stage</w:t>
            </w:r>
          </w:p>
        </w:tc>
        <w:tc>
          <w:tcPr>
            <w:tcW w:type="dxa" w:w="1728"/>
          </w:tcPr>
          <w:p>
            <w:r>
              <w:rPr>
                <w:rFonts w:ascii="Calibri" w:hAnsi="Calibri"/>
                <w:sz w:val="22"/>
              </w:rPr>
              <w:t>Positive for Cloud; mixed for Search (agentic commerce competition nascent)</w:t>
            </w:r>
          </w:p>
        </w:tc>
        <w:tc>
          <w:tcPr>
            <w:tcW w:type="dxa" w:w="1728"/>
          </w:tcPr>
          <w:p>
            <w:r>
              <w:rPr>
                <w:rFonts w:ascii="Calibri" w:hAnsi="Calibri"/>
                <w:b/>
                <w:color w:val="30A46C"/>
                <w:sz w:val="22"/>
              </w:rPr>
              <w:t>⬆ Positive</w:t>
            </w:r>
          </w:p>
        </w:tc>
      </w:tr>
      <w:tr>
        <w:tc>
          <w:tcPr>
            <w:tcW w:type="dxa" w:w="1728"/>
          </w:tcPr>
          <w:p>
            <w:r>
              <w:rPr>
                <w:rFonts w:ascii="Calibri" w:hAnsi="Calibri"/>
                <w:sz w:val="22"/>
              </w:rPr>
              <w:t>Microsoft (MSFT)</w:t>
            </w:r>
          </w:p>
        </w:tc>
        <w:tc>
          <w:tcPr>
            <w:tcW w:type="dxa" w:w="1728"/>
          </w:tcPr>
          <w:p>
            <w:r>
              <w:rPr>
                <w:rFonts w:ascii="Calibri" w:hAnsi="Calibri"/>
                <w:sz w:val="22"/>
              </w:rPr>
              <w:t>Apr 29, 2026</w:t>
            </w:r>
          </w:p>
        </w:tc>
        <w:tc>
          <w:tcPr>
            <w:tcW w:type="dxa" w:w="1728"/>
          </w:tcPr>
          <w:p>
            <w:r>
              <w:rPr>
                <w:rFonts w:ascii="Calibri" w:hAnsi="Calibri"/>
                <w:sz w:val="22"/>
              </w:rPr>
              <w:t>Azure +40% CC; AI ARR $37B (+123%); Q4 Azure guided 39–40%</w:t>
            </w:r>
          </w:p>
        </w:tc>
        <w:tc>
          <w:tcPr>
            <w:tcW w:type="dxa" w:w="1728"/>
          </w:tcPr>
          <w:p>
            <w:r>
              <w:rPr>
                <w:rFonts w:ascii="Calibri" w:hAnsi="Calibri"/>
                <w:sz w:val="22"/>
              </w:rPr>
              <w:t>Positive for Cloud; validates enterprise AI demand cycle</w:t>
            </w:r>
          </w:p>
        </w:tc>
        <w:tc>
          <w:tcPr>
            <w:tcW w:type="dxa" w:w="1728"/>
          </w:tcPr>
          <w:p>
            <w:r>
              <w:rPr>
                <w:rFonts w:ascii="Calibri" w:hAnsi="Calibri"/>
                <w:b/>
                <w:color w:val="30A46C"/>
                <w:sz w:val="22"/>
              </w:rPr>
              <w:t>⬆ Positive</w:t>
            </w:r>
          </w:p>
        </w:tc>
      </w:tr>
      <w:tr>
        <w:tc>
          <w:tcPr>
            <w:tcW w:type="dxa" w:w="1728"/>
          </w:tcPr>
          <w:p>
            <w:r>
              <w:rPr>
                <w:rFonts w:ascii="Calibri" w:hAnsi="Calibri"/>
                <w:sz w:val="22"/>
              </w:rPr>
              <w:t>The Trade Desk (TTD)</w:t>
            </w:r>
          </w:p>
        </w:tc>
        <w:tc>
          <w:tcPr>
            <w:tcW w:type="dxa" w:w="1728"/>
          </w:tcPr>
          <w:p>
            <w:r>
              <w:rPr>
                <w:rFonts w:ascii="Calibri" w:hAnsi="Calibri"/>
                <w:sz w:val="22"/>
              </w:rPr>
              <w:t>May 7, 2026</w:t>
            </w:r>
          </w:p>
        </w:tc>
        <w:tc>
          <w:tcPr>
            <w:tcW w:type="dxa" w:w="1728"/>
          </w:tcPr>
          <w:p>
            <w:r>
              <w:rPr>
                <w:rFonts w:ascii="Calibri" w:hAnsi="Calibri"/>
                <w:sz w:val="22"/>
              </w:rPr>
              <w:t>Q2 rev. ≥$750M; macro complex; CTV growing; AI search seen as ad opportunity</w:t>
            </w:r>
          </w:p>
        </w:tc>
        <w:tc>
          <w:tcPr>
            <w:tcW w:type="dxa" w:w="1728"/>
          </w:tcPr>
          <w:p>
            <w:r>
              <w:rPr>
                <w:rFonts w:ascii="Calibri" w:hAnsi="Calibri"/>
                <w:sz w:val="22"/>
              </w:rPr>
              <w:t>Positive for YouTube CTV; cautionary on macro for some verticals</w:t>
            </w:r>
          </w:p>
        </w:tc>
        <w:tc>
          <w:tcPr>
            <w:tcW w:type="dxa" w:w="1728"/>
          </w:tcPr>
          <w:p>
            <w:r>
              <w:rPr>
                <w:rFonts w:ascii="Calibri" w:hAnsi="Calibri"/>
                <w:b/>
                <w:color w:val="002FA7"/>
                <w:sz w:val="22"/>
              </w:rPr>
              <w:t>→ Mixed</w:t>
            </w:r>
          </w:p>
        </w:tc>
      </w:tr>
      <w:tr>
        <w:tc>
          <w:tcPr>
            <w:tcW w:type="dxa" w:w="1728"/>
          </w:tcPr>
          <w:p>
            <w:r>
              <w:rPr>
                <w:rFonts w:ascii="Calibri" w:hAnsi="Calibri"/>
                <w:sz w:val="22"/>
              </w:rPr>
              <w:t>Pinterest (PINS)</w:t>
            </w:r>
          </w:p>
        </w:tc>
        <w:tc>
          <w:tcPr>
            <w:tcW w:type="dxa" w:w="1728"/>
          </w:tcPr>
          <w:p>
            <w:r>
              <w:rPr>
                <w:rFonts w:ascii="Calibri" w:hAnsi="Calibri"/>
                <w:sz w:val="22"/>
              </w:rPr>
              <w:t>May 4, 2026</w:t>
            </w:r>
          </w:p>
        </w:tc>
        <w:tc>
          <w:tcPr>
            <w:tcW w:type="dxa" w:w="1728"/>
          </w:tcPr>
          <w:p>
            <w:r>
              <w:rPr>
                <w:rFonts w:ascii="Calibri" w:hAnsi="Calibri"/>
                <w:sz w:val="22"/>
              </w:rPr>
              <w:t>Rev +18% YoY; ad market consistent; 50% of searches commercial intent</w:t>
            </w:r>
          </w:p>
        </w:tc>
        <w:tc>
          <w:tcPr>
            <w:tcW w:type="dxa" w:w="1728"/>
          </w:tcPr>
          <w:p>
            <w:r>
              <w:rPr>
                <w:rFonts w:ascii="Calibri" w:hAnsi="Calibri"/>
                <w:sz w:val="22"/>
              </w:rPr>
              <w:t>Positive for Search; rebuts AI chatbot disruption thesis</w:t>
            </w:r>
          </w:p>
        </w:tc>
        <w:tc>
          <w:tcPr>
            <w:tcW w:type="dxa" w:w="1728"/>
          </w:tcPr>
          <w:p>
            <w:r>
              <w:rPr>
                <w:rFonts w:ascii="Calibri" w:hAnsi="Calibri"/>
                <w:b/>
                <w:color w:val="30A46C"/>
                <w:sz w:val="22"/>
              </w:rPr>
              <w:t>⬆ Positive</w:t>
            </w:r>
          </w:p>
        </w:tc>
      </w:tr>
      <w:tr>
        <w:tc>
          <w:tcPr>
            <w:tcW w:type="dxa" w:w="1728"/>
          </w:tcPr>
          <w:p>
            <w:r>
              <w:rPr>
                <w:rFonts w:ascii="Calibri" w:hAnsi="Calibri"/>
                <w:sz w:val="22"/>
              </w:rPr>
              <w:t>Snap (SNAP)</w:t>
            </w:r>
          </w:p>
        </w:tc>
        <w:tc>
          <w:tcPr>
            <w:tcW w:type="dxa" w:w="1728"/>
          </w:tcPr>
          <w:p>
            <w:r>
              <w:rPr>
                <w:rFonts w:ascii="Calibri" w:hAnsi="Calibri"/>
                <w:sz w:val="22"/>
              </w:rPr>
              <w:t>May 6, 2026</w:t>
            </w:r>
          </w:p>
        </w:tc>
        <w:tc>
          <w:tcPr>
            <w:tcW w:type="dxa" w:w="1728"/>
          </w:tcPr>
          <w:p>
            <w:r>
              <w:rPr>
                <w:rFonts w:ascii="Calibri" w:hAnsi="Calibri"/>
                <w:sz w:val="22"/>
              </w:rPr>
              <w:t>Ad rev +3% YoY; large advertiser headwind; SMB +30%; upfronts +10%</w:t>
            </w:r>
          </w:p>
        </w:tc>
        <w:tc>
          <w:tcPr>
            <w:tcW w:type="dxa" w:w="1728"/>
          </w:tcPr>
          <w:p>
            <w:r>
              <w:rPr>
                <w:rFonts w:ascii="Calibri" w:hAnsi="Calibri"/>
                <w:sz w:val="22"/>
              </w:rPr>
              <w:t>Mixed; large advertiser recovery still early; SMB strength positive</w:t>
            </w:r>
          </w:p>
        </w:tc>
        <w:tc>
          <w:tcPr>
            <w:tcW w:type="dxa" w:w="1728"/>
          </w:tcPr>
          <w:p>
            <w:r>
              <w:rPr>
                <w:rFonts w:ascii="Calibri" w:hAnsi="Calibri"/>
                <w:b/>
                <w:color w:val="002FA7"/>
                <w:sz w:val="22"/>
              </w:rPr>
              <w:t>→ Mixed</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