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Alphabet Inc. (GOOGL)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Alphabet Inc.</w:t>
            </w:r>
          </w:p>
        </w:tc>
        <w:tc>
          <w:tcPr>
            <w:tcW w:type="dxa" w:w="2160"/>
          </w:tcPr>
          <w:p>
            <w:r>
              <w:rPr>
                <w:rFonts w:ascii="Calibri" w:hAnsi="Calibri"/>
                <w:b/>
                <w:sz w:val="22"/>
              </w:rPr>
              <w:t>Earnings Date</w:t>
            </w:r>
          </w:p>
        </w:tc>
        <w:tc>
          <w:tcPr>
            <w:tcW w:type="dxa" w:w="2160"/>
          </w:tcPr>
          <w:p>
            <w:r>
              <w:rPr>
                <w:rFonts w:ascii="Calibri" w:hAnsi="Calibri"/>
                <w:sz w:val="22"/>
              </w:rPr>
              <w:t>July 22, 2026 (After Close)</w:t>
            </w:r>
          </w:p>
        </w:tc>
      </w:tr>
      <w:tr>
        <w:tc>
          <w:tcPr>
            <w:tcW w:type="dxa" w:w="2160"/>
          </w:tcPr>
          <w:p>
            <w:r>
              <w:rPr>
                <w:rFonts w:ascii="Calibri" w:hAnsi="Calibri"/>
                <w:b/>
                <w:sz w:val="22"/>
              </w:rPr>
              <w:t>Ticker</w:t>
            </w:r>
          </w:p>
        </w:tc>
        <w:tc>
          <w:tcPr>
            <w:tcW w:type="dxa" w:w="2160"/>
          </w:tcPr>
          <w:p>
            <w:r>
              <w:rPr>
                <w:rFonts w:ascii="Calibri" w:hAnsi="Calibri"/>
                <w:sz w:val="22"/>
              </w:rPr>
              <w:t>GOOGL (NASDAQ)</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 By</w:t>
            </w:r>
          </w:p>
        </w:tc>
        <w:tc>
          <w:tcPr>
            <w:tcW w:type="dxa" w:w="2160"/>
          </w:tcPr>
          <w:p>
            <w:r>
              <w:rPr>
                <w:rFonts w:ascii="Calibri" w:hAnsi="Calibri"/>
                <w:sz w:val="22"/>
              </w:rPr>
              <w:t>Implied Research</w:t>
            </w:r>
          </w:p>
        </w:tc>
        <w:tc>
          <w:tcPr>
            <w:tcW w:type="dxa" w:w="2160"/>
          </w:tcPr>
          <w:p>
            <w:r>
              <w:rPr>
                <w:rFonts w:ascii="Calibri" w:hAnsi="Calibri"/>
                <w:b/>
                <w:sz w:val="22"/>
              </w:rPr>
              <w:t>Preparation Date</w:t>
            </w:r>
          </w:p>
        </w:tc>
        <w:tc>
          <w:tcPr>
            <w:tcW w:type="dxa" w:w="2160"/>
          </w:tcPr>
          <w:p>
            <w:r>
              <w:rPr>
                <w:rFonts w:ascii="Calibri" w:hAnsi="Calibri"/>
                <w:sz w:val="22"/>
              </w:rPr>
              <w:t>July 21, 2026</w:t>
            </w:r>
          </w:p>
        </w:tc>
      </w:tr>
      <w:tr>
        <w:tc>
          <w:tcPr>
            <w:tcW w:type="dxa" w:w="2160"/>
          </w:tcPr>
          <w:p>
            <w:r>
              <w:rPr>
                <w:rFonts w:ascii="Calibri" w:hAnsi="Calibri"/>
                <w:b/>
                <w:sz w:val="22"/>
              </w:rPr>
              <w:t>Last Earnings</w:t>
            </w:r>
          </w:p>
        </w:tc>
        <w:tc>
          <w:tcPr>
            <w:tcW w:type="dxa" w:w="2160"/>
          </w:tcPr>
          <w:p>
            <w:r>
              <w:rPr>
                <w:rFonts w:ascii="Calibri" w:hAnsi="Calibri"/>
                <w:sz w:val="22"/>
              </w:rPr>
              <w:t>April 29, 2026 (Q1 2026)</w:t>
            </w:r>
          </w:p>
        </w:tc>
        <w:tc>
          <w:tcPr>
            <w:tcW w:type="dxa" w:w="2160"/>
          </w:tcPr>
          <w:p>
            <w:r>
              <w:rPr>
                <w:rFonts w:ascii="Calibri" w:hAnsi="Calibri"/>
                <w:b/>
                <w:sz w:val="22"/>
              </w:rPr>
              <w:t>Consensus Price Target</w:t>
            </w:r>
          </w:p>
        </w:tc>
        <w:tc>
          <w:tcPr>
            <w:tcW w:type="dxa" w:w="2160"/>
          </w:tcPr>
          <w:p>
            <w:r>
              <w:rPr>
                <w:rFonts w:ascii="Calibri" w:hAnsi="Calibri"/>
                <w:sz w:val="22"/>
              </w:rPr>
              <w:t>$430 (BofA, Buy)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euphoric — Cloud acceleration and Search resilience set a beatable bar, with the single biggest swing factor being whether Q2 CapEx guidance signals demand conviction or runaway spending without near-term revenue payoff.</w:t>
      </w:r>
    </w:p>
    <w:p>
      <w:r>
        <w:rPr>
          <w:rFonts w:ascii="Calibri" w:hAnsi="Calibri"/>
          <w:color w:val="525866"/>
          <w:sz w:val="22"/>
        </w:rPr>
        <w:t xml:space="preserve">Consensus heading into Q2 2026 represents a moderate bar: Street expects consolidated revenue of ~$117.2B (+22% YoY), Google Cloud of ~$22.5B (+47% YoY), and Search of ~$63.3B (+17% YoY) — all achievable given Q1's 63% Cloud acceleration and queries at all-time highs, though the YoY Cloud comp gets meaningfully tougher. </w:t>
      </w:r>
      <w:r>
        <w:rPr>
          <w:rFonts w:ascii="Calibri" w:hAnsi="Calibri"/>
          <w:b/>
          <w:color w:val="525866"/>
          <w:sz w:val="22"/>
        </w:rPr>
        <w:t>Management's posture on the Q1 call was unambiguously confident</w:t>
      </w:r>
      <w:r>
        <w:rPr>
          <w:rFonts w:ascii="Calibri" w:hAnsi="Calibri"/>
          <w:color w:val="525866"/>
          <w:sz w:val="22"/>
        </w:rPr>
        <w:t xml:space="preserve"> — Sundar Pichai declared "2026 is off to a terrific start," Cloud backlog nearly doubled to $462B, and the company raised FY2026 CapEx guidance to $180–190B while explicitly guiding 2027 CapEx to "significantly increase" — a posture that has not visibly softened since. Estimate revisions since the Q1 print have been modestly positive on revenue (+0.2% for Q2 consolidated) and Cloud (+0.4% for Q2), while FY2026 operating EPS has drifted lower (from $15.35 to $13.37) as the market digests accelerating depreciation from the CapEx ramp — a gap that represents a known headwind rather than a surprise risk. </w:t>
      </w:r>
      <w:r>
        <w:rPr>
          <w:rFonts w:ascii="Calibri" w:hAnsi="Calibri"/>
          <w:b/>
          <w:color w:val="525866"/>
          <w:sz w:val="22"/>
        </w:rPr>
        <w:t>The stock has given back roughly 1% since the Q1 print (GOOGL $347 vs. $350 at last earnings), underperforming XLC and SPY, with the multiple compressing ~5–6% on a 1-month basis</w:t>
      </w:r>
      <w:r>
        <w:rPr>
          <w:rFonts w:ascii="Calibri" w:hAnsi="Calibri"/>
          <w:color w:val="525866"/>
          <w:sz w:val="22"/>
        </w:rPr>
        <w:t xml:space="preserve"> — suggesting the market has not priced in a beat and the setup is asymmetrically positive if Cloud sustains acceleration. The key wildcard is the </w:t>
      </w:r>
      <w:r>
        <w:rPr>
          <w:rFonts w:ascii="Calibri" w:hAnsi="Calibri"/>
          <w:b/>
          <w:color w:val="525866"/>
          <w:sz w:val="22"/>
        </w:rPr>
        <w:t>Gemini 3.5 Pro delay</w:t>
      </w:r>
      <w:r>
        <w:rPr>
          <w:rFonts w:ascii="Calibri" w:hAnsi="Calibri"/>
          <w:color w:val="525866"/>
          <w:sz w:val="22"/>
        </w:rPr>
        <w:t xml:space="preserve"> (Bloomberg reported internal testing shortfalls in coding, July 16) — if management addresses this defensively on the call, it could overshadow an otherwise strong print; conversely, any update on Pro's timeline or early Gemini 4 pre-training progress could be a meaningful positive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beatable bar on revenue and Cloud; the bigger swing factor is CapEx guidance for Q3/FY2026 and whether Cloud operating margin holds above 30% despite the Wiz acquisition headwind. Search is the steady anchor — any upside there is gravy.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Consolidated Revenue ($B)</w:t>
            </w:r>
          </w:p>
        </w:tc>
        <w:tc>
          <w:tcPr>
            <w:tcW w:type="dxa" w:w="1234"/>
          </w:tcPr>
          <w:p>
            <w:r>
              <w:rPr>
                <w:rFonts w:ascii="Calibri" w:hAnsi="Calibri"/>
                <w:sz w:val="22"/>
              </w:rPr>
              <w:t>$109.9B</w:t>
            </w:r>
          </w:p>
        </w:tc>
        <w:tc>
          <w:tcPr>
            <w:tcW w:type="dxa" w:w="1234"/>
          </w:tcPr>
          <w:p>
            <w:r>
              <w:rPr>
                <w:rFonts w:ascii="Calibri" w:hAnsi="Calibri"/>
                <w:sz w:val="22"/>
              </w:rPr>
              <w:t>$96.4B</w:t>
            </w:r>
          </w:p>
        </w:tc>
        <w:tc>
          <w:tcPr>
            <w:tcW w:type="dxa" w:w="1234"/>
          </w:tcPr>
          <w:p>
            <w:r>
              <w:rPr>
                <w:rFonts w:ascii="Calibri" w:hAnsi="Calibri"/>
                <w:sz w:val="22"/>
              </w:rPr>
              <w:t>$117.2B ¹</w:t>
            </w:r>
          </w:p>
        </w:tc>
        <w:tc>
          <w:tcPr>
            <w:tcW w:type="dxa" w:w="1234"/>
          </w:tcPr>
          <w:p>
            <w:r>
              <w:rPr>
                <w:rFonts w:ascii="Calibri" w:hAnsi="Calibri"/>
                <w:sz w:val="22"/>
              </w:rPr>
              <w:t>+21.5% YoY</w:t>
            </w:r>
          </w:p>
        </w:tc>
        <w:tc>
          <w:tcPr>
            <w:tcW w:type="dxa" w:w="1234"/>
          </w:tcPr>
          <w:p>
            <w:r>
              <w:rPr>
                <w:rFonts w:ascii="Calibri" w:hAnsi="Calibri"/>
                <w:sz w:val="22"/>
              </w:rPr>
              <w:t>~1pp FX tailwind guided (Q1 call)</w:t>
            </w:r>
          </w:p>
        </w:tc>
        <w:tc>
          <w:tcPr>
            <w:tcW w:type="dxa" w:w="1234"/>
          </w:tcPr>
          <w:p>
            <w:r>
              <w:rPr>
                <w:rFonts w:ascii="Calibri" w:hAnsi="Calibri"/>
                <w:sz w:val="22"/>
              </w:rPr>
              <w:t>N/A (no $ guidance)</w:t>
            </w:r>
          </w:p>
        </w:tc>
      </w:tr>
      <w:tr>
        <w:tc>
          <w:tcPr>
            <w:tcW w:type="dxa" w:w="1234"/>
          </w:tcPr>
          <w:p>
            <w:r>
              <w:rPr>
                <w:rFonts w:ascii="Calibri" w:hAnsi="Calibri"/>
                <w:sz w:val="22"/>
              </w:rPr>
              <w:t>Google Cloud Revenue ($B)</w:t>
            </w:r>
          </w:p>
        </w:tc>
        <w:tc>
          <w:tcPr>
            <w:tcW w:type="dxa" w:w="1234"/>
          </w:tcPr>
          <w:p>
            <w:r>
              <w:rPr>
                <w:rFonts w:ascii="Calibri" w:hAnsi="Calibri"/>
                <w:sz w:val="22"/>
              </w:rPr>
              <w:t>$20.0B</w:t>
            </w:r>
          </w:p>
        </w:tc>
        <w:tc>
          <w:tcPr>
            <w:tcW w:type="dxa" w:w="1234"/>
          </w:tcPr>
          <w:p>
            <w:r>
              <w:rPr>
                <w:rFonts w:ascii="Calibri" w:hAnsi="Calibri"/>
                <w:sz w:val="22"/>
              </w:rPr>
              <w:t>$13.6B</w:t>
            </w:r>
          </w:p>
        </w:tc>
        <w:tc>
          <w:tcPr>
            <w:tcW w:type="dxa" w:w="1234"/>
          </w:tcPr>
          <w:p>
            <w:r>
              <w:rPr>
                <w:rFonts w:ascii="Calibri" w:hAnsi="Calibri"/>
                <w:sz w:val="22"/>
              </w:rPr>
              <w:t>$22.5B ¹</w:t>
            </w:r>
          </w:p>
        </w:tc>
        <w:tc>
          <w:tcPr>
            <w:tcW w:type="dxa" w:w="1234"/>
          </w:tcPr>
          <w:p>
            <w:r>
              <w:rPr>
                <w:rFonts w:ascii="Calibri" w:hAnsi="Calibri"/>
                <w:sz w:val="22"/>
              </w:rPr>
              <w:t>+65.2% YoY</w:t>
            </w:r>
          </w:p>
        </w:tc>
        <w:tc>
          <w:tcPr>
            <w:tcW w:type="dxa" w:w="1234"/>
          </w:tcPr>
          <w:p>
            <w:r>
              <w:rPr>
                <w:rFonts w:ascii="Calibri" w:hAnsi="Calibri"/>
                <w:sz w:val="22"/>
              </w:rPr>
              <w:t>No specific $ guidance; compute-constrained near-term</w:t>
            </w:r>
          </w:p>
        </w:tc>
        <w:tc>
          <w:tcPr>
            <w:tcW w:type="dxa" w:w="1234"/>
          </w:tcPr>
          <w:p>
            <w:r>
              <w:rPr>
                <w:rFonts w:ascii="Calibri" w:hAnsi="Calibri"/>
                <w:sz w:val="22"/>
              </w:rPr>
              <w:t>N/A (no $ guidance)</w:t>
            </w:r>
          </w:p>
        </w:tc>
      </w:tr>
      <w:tr>
        <w:tc>
          <w:tcPr>
            <w:tcW w:type="dxa" w:w="1234"/>
          </w:tcPr>
          <w:p>
            <w:r>
              <w:rPr>
                <w:rFonts w:ascii="Calibri" w:hAnsi="Calibri"/>
                <w:sz w:val="22"/>
              </w:rPr>
              <w:t>Google Search &amp; Other Revenue ($B)</w:t>
            </w:r>
          </w:p>
        </w:tc>
        <w:tc>
          <w:tcPr>
            <w:tcW w:type="dxa" w:w="1234"/>
          </w:tcPr>
          <w:p>
            <w:r>
              <w:rPr>
                <w:rFonts w:ascii="Calibri" w:hAnsi="Calibri"/>
                <w:sz w:val="22"/>
              </w:rPr>
              <w:t>$60.4B</w:t>
            </w:r>
          </w:p>
        </w:tc>
        <w:tc>
          <w:tcPr>
            <w:tcW w:type="dxa" w:w="1234"/>
          </w:tcPr>
          <w:p>
            <w:r>
              <w:rPr>
                <w:rFonts w:ascii="Calibri" w:hAnsi="Calibri"/>
                <w:sz w:val="22"/>
              </w:rPr>
              <w:t>$54.2B</w:t>
            </w:r>
          </w:p>
        </w:tc>
        <w:tc>
          <w:tcPr>
            <w:tcW w:type="dxa" w:w="1234"/>
          </w:tcPr>
          <w:p>
            <w:r>
              <w:rPr>
                <w:rFonts w:ascii="Calibri" w:hAnsi="Calibri"/>
                <w:sz w:val="22"/>
              </w:rPr>
              <w:t>$63.3B ¹</w:t>
            </w:r>
          </w:p>
        </w:tc>
        <w:tc>
          <w:tcPr>
            <w:tcW w:type="dxa" w:w="1234"/>
          </w:tcPr>
          <w:p>
            <w:r>
              <w:rPr>
                <w:rFonts w:ascii="Calibri" w:hAnsi="Calibri"/>
                <w:sz w:val="22"/>
              </w:rPr>
              <w:t>+16.8% YoY</w:t>
            </w:r>
          </w:p>
        </w:tc>
        <w:tc>
          <w:tcPr>
            <w:tcW w:type="dxa" w:w="1234"/>
          </w:tcPr>
          <w:p>
            <w:r>
              <w:rPr>
                <w:rFonts w:ascii="Calibri" w:hAnsi="Calibri"/>
                <w:sz w:val="22"/>
              </w:rPr>
              <w:t>No specific guidance; queries at all-time highs</w:t>
            </w:r>
          </w:p>
        </w:tc>
        <w:tc>
          <w:tcPr>
            <w:tcW w:type="dxa" w:w="1234"/>
          </w:tcPr>
          <w:p>
            <w:r>
              <w:rPr>
                <w:rFonts w:ascii="Calibri" w:hAnsi="Calibri"/>
                <w:sz w:val="22"/>
              </w:rPr>
              <w:t>N/A (no $ guidance)</w:t>
            </w:r>
          </w:p>
        </w:tc>
      </w:tr>
      <w:tr>
        <w:tc>
          <w:tcPr>
            <w:tcW w:type="dxa" w:w="1234"/>
          </w:tcPr>
          <w:p>
            <w:r>
              <w:rPr>
                <w:rFonts w:ascii="Calibri" w:hAnsi="Calibri"/>
                <w:sz w:val="22"/>
              </w:rPr>
              <w:t>Google Cloud Operating Income ($B)</w:t>
            </w:r>
          </w:p>
        </w:tc>
        <w:tc>
          <w:tcPr>
            <w:tcW w:type="dxa" w:w="1234"/>
          </w:tcPr>
          <w:p>
            <w:r>
              <w:rPr>
                <w:rFonts w:ascii="Calibri" w:hAnsi="Calibri"/>
                <w:sz w:val="22"/>
              </w:rPr>
              <w:t>$6.6B (32.9% margin)</w:t>
            </w:r>
          </w:p>
        </w:tc>
        <w:tc>
          <w:tcPr>
            <w:tcW w:type="dxa" w:w="1234"/>
          </w:tcPr>
          <w:p>
            <w:r>
              <w:rPr>
                <w:rFonts w:ascii="Calibri" w:hAnsi="Calibri"/>
                <w:sz w:val="22"/>
              </w:rPr>
              <w:t>$2.8B (20.7% margin)</w:t>
            </w:r>
          </w:p>
        </w:tc>
        <w:tc>
          <w:tcPr>
            <w:tcW w:type="dxa" w:w="1234"/>
          </w:tcPr>
          <w:p>
            <w:r>
              <w:rPr>
                <w:rFonts w:ascii="Calibri" w:hAnsi="Calibri"/>
                <w:sz w:val="22"/>
              </w:rPr>
              <w:t>$6.97B ¹</w:t>
            </w:r>
          </w:p>
        </w:tc>
        <w:tc>
          <w:tcPr>
            <w:tcW w:type="dxa" w:w="1234"/>
          </w:tcPr>
          <w:p>
            <w:r>
              <w:rPr>
                <w:rFonts w:ascii="Calibri" w:hAnsi="Calibri"/>
                <w:sz w:val="22"/>
              </w:rPr>
              <w:t>+146.7% YoY</w:t>
            </w:r>
          </w:p>
        </w:tc>
        <w:tc>
          <w:tcPr>
            <w:tcW w:type="dxa" w:w="1234"/>
          </w:tcPr>
          <w:p>
            <w:r>
              <w:rPr>
                <w:rFonts w:ascii="Calibri" w:hAnsi="Calibri"/>
                <w:sz w:val="22"/>
              </w:rPr>
              <w:t>Low single-digit pp headwind from Wiz for remainder of 2026</w:t>
            </w:r>
          </w:p>
        </w:tc>
        <w:tc>
          <w:tcPr>
            <w:tcW w:type="dxa" w:w="1234"/>
          </w:tcPr>
          <w:p>
            <w:r>
              <w:rPr>
                <w:rFonts w:ascii="Calibri" w:hAnsi="Calibri"/>
                <w:sz w:val="22"/>
              </w:rPr>
              <w:t>Implies ~30–31% margin vs. 32.9% in Q1</w:t>
            </w:r>
          </w:p>
        </w:tc>
      </w:tr>
      <w:tr>
        <w:tc>
          <w:tcPr>
            <w:tcW w:type="dxa" w:w="1234"/>
          </w:tcPr>
          <w:p>
            <w:r>
              <w:rPr>
                <w:rFonts w:ascii="Calibri" w:hAnsi="Calibri"/>
                <w:sz w:val="22"/>
              </w:rPr>
              <w:t>Consolidated Operating Margin (%)</w:t>
            </w:r>
          </w:p>
        </w:tc>
        <w:tc>
          <w:tcPr>
            <w:tcW w:type="dxa" w:w="1234"/>
          </w:tcPr>
          <w:p>
            <w:r>
              <w:rPr>
                <w:rFonts w:ascii="Calibri" w:hAnsi="Calibri"/>
                <w:sz w:val="22"/>
              </w:rPr>
              <w:t>36.1%</w:t>
            </w:r>
          </w:p>
        </w:tc>
        <w:tc>
          <w:tcPr>
            <w:tcW w:type="dxa" w:w="1234"/>
          </w:tcPr>
          <w:p>
            <w:r>
              <w:rPr>
                <w:rFonts w:ascii="Calibri" w:hAnsi="Calibri"/>
                <w:sz w:val="22"/>
              </w:rPr>
              <w:t>32.0%</w:t>
            </w:r>
          </w:p>
        </w:tc>
        <w:tc>
          <w:tcPr>
            <w:tcW w:type="dxa" w:w="1234"/>
          </w:tcPr>
          <w:p>
            <w:r>
              <w:rPr>
                <w:rFonts w:ascii="Calibri" w:hAnsi="Calibri"/>
                <w:sz w:val="22"/>
              </w:rPr>
              <w:t>~47.8% (Operating basis) ¹</w:t>
            </w:r>
          </w:p>
        </w:tc>
        <w:tc>
          <w:tcPr>
            <w:tcW w:type="dxa" w:w="1234"/>
          </w:tcPr>
          <w:p>
            <w:r>
              <w:rPr>
                <w:rFonts w:ascii="Calibri" w:hAnsi="Calibri"/>
                <w:sz w:val="22"/>
              </w:rPr>
              <w:t>+~15.8pp YoY (operating basis)</w:t>
            </w:r>
          </w:p>
        </w:tc>
        <w:tc>
          <w:tcPr>
            <w:tcW w:type="dxa" w:w="1234"/>
          </w:tcPr>
          <w:p>
            <w:r>
              <w:rPr>
                <w:rFonts w:ascii="Calibri" w:hAnsi="Calibri"/>
                <w:sz w:val="22"/>
              </w:rPr>
              <w:t>Depreciation headwind from CapEx ramp; continued hiring in AI/Cloud</w:t>
            </w:r>
          </w:p>
        </w:tc>
        <w:tc>
          <w:tcPr>
            <w:tcW w:type="dxa" w:w="1234"/>
          </w:tcPr>
          <w:p>
            <w:r>
              <w:rPr>
                <w:rFonts w:ascii="Calibri" w:hAnsi="Calibri"/>
                <w:sz w:val="22"/>
              </w:rPr>
              <w:t>N/A (no explicit margin guidance)</w:t>
            </w:r>
          </w:p>
        </w:tc>
      </w:tr>
      <w:tr>
        <w:tc>
          <w:tcPr>
            <w:tcW w:type="dxa" w:w="1234"/>
          </w:tcPr>
          <w:p>
            <w:r>
              <w:rPr>
                <w:rFonts w:ascii="Calibri" w:hAnsi="Calibri"/>
                <w:sz w:val="22"/>
              </w:rPr>
              <w:t>CapEx / Purchases of PP&amp;E ($B)</w:t>
            </w:r>
          </w:p>
        </w:tc>
        <w:tc>
          <w:tcPr>
            <w:tcW w:type="dxa" w:w="1234"/>
          </w:tcPr>
          <w:p>
            <w:r>
              <w:rPr>
                <w:rFonts w:ascii="Calibri" w:hAnsi="Calibri"/>
                <w:sz w:val="22"/>
              </w:rPr>
              <w:t>$35.7B</w:t>
            </w:r>
          </w:p>
        </w:tc>
        <w:tc>
          <w:tcPr>
            <w:tcW w:type="dxa" w:w="1234"/>
          </w:tcPr>
          <w:p>
            <w:r>
              <w:rPr>
                <w:rFonts w:ascii="Calibri" w:hAnsi="Calibri"/>
                <w:sz w:val="22"/>
              </w:rPr>
              <w:t>$22.4B</w:t>
            </w:r>
          </w:p>
        </w:tc>
        <w:tc>
          <w:tcPr>
            <w:tcW w:type="dxa" w:w="1234"/>
          </w:tcPr>
          <w:p>
            <w:r>
              <w:rPr>
                <w:rFonts w:ascii="Calibri" w:hAnsi="Calibri"/>
                <w:sz w:val="22"/>
              </w:rPr>
              <w:t>$44.7B ¹</w:t>
            </w:r>
          </w:p>
        </w:tc>
        <w:tc>
          <w:tcPr>
            <w:tcW w:type="dxa" w:w="1234"/>
          </w:tcPr>
          <w:p>
            <w:r>
              <w:rPr>
                <w:rFonts w:ascii="Calibri" w:hAnsi="Calibri"/>
                <w:sz w:val="22"/>
              </w:rPr>
              <w:t>+99.2% YoY</w:t>
            </w:r>
          </w:p>
        </w:tc>
        <w:tc>
          <w:tcPr>
            <w:tcW w:type="dxa" w:w="1234"/>
          </w:tcPr>
          <w:p>
            <w:r>
              <w:rPr>
                <w:rFonts w:ascii="Calibri" w:hAnsi="Calibri"/>
                <w:sz w:val="22"/>
              </w:rPr>
              <w:t>FY2026: $180–190B; 2027 to "significantly increase"</w:t>
            </w:r>
          </w:p>
        </w:tc>
        <w:tc>
          <w:tcPr>
            <w:tcW w:type="dxa" w:w="1234"/>
          </w:tcPr>
          <w:p>
            <w:r>
              <w:rPr>
                <w:rFonts w:ascii="Calibri" w:hAnsi="Calibri"/>
                <w:sz w:val="22"/>
              </w:rPr>
              <w:t>FY consensus $187.7B vs. guidance midpoint $185B (+1.5%)</w:t>
            </w:r>
          </w:p>
        </w:tc>
      </w:tr>
      <w:tr>
        <w:tc>
          <w:tcPr>
            <w:tcW w:type="dxa" w:w="1234"/>
          </w:tcPr>
          <w:p>
            <w:r>
              <w:rPr>
                <w:rFonts w:ascii="Calibri" w:hAnsi="Calibri"/>
                <w:sz w:val="22"/>
              </w:rPr>
              <w:t>EPS — Diluted Operating ($)</w:t>
            </w:r>
          </w:p>
        </w:tc>
        <w:tc>
          <w:tcPr>
            <w:tcW w:type="dxa" w:w="1234"/>
          </w:tcPr>
          <w:p>
            <w:r>
              <w:rPr>
                <w:rFonts w:ascii="Calibri" w:hAnsi="Calibri"/>
                <w:sz w:val="22"/>
              </w:rPr>
              <w:t>$2.80 ¹</w:t>
            </w:r>
          </w:p>
        </w:tc>
        <w:tc>
          <w:tcPr>
            <w:tcW w:type="dxa" w:w="1234"/>
          </w:tcPr>
          <w:p>
            <w:r>
              <w:rPr>
                <w:rFonts w:ascii="Calibri" w:hAnsi="Calibri"/>
                <w:sz w:val="22"/>
              </w:rPr>
              <w:t>$2.55 ¹</w:t>
            </w:r>
          </w:p>
        </w:tc>
        <w:tc>
          <w:tcPr>
            <w:tcW w:type="dxa" w:w="1234"/>
          </w:tcPr>
          <w:p>
            <w:r>
              <w:rPr>
                <w:rFonts w:ascii="Calibri" w:hAnsi="Calibri"/>
                <w:sz w:val="22"/>
              </w:rPr>
              <w:t>$3.32 ¹</w:t>
            </w:r>
          </w:p>
        </w:tc>
        <w:tc>
          <w:tcPr>
            <w:tcW w:type="dxa" w:w="1234"/>
          </w:tcPr>
          <w:p>
            <w:r>
              <w:rPr>
                <w:rFonts w:ascii="Calibri" w:hAnsi="Calibri"/>
                <w:sz w:val="22"/>
              </w:rPr>
              <w:t>+30.2% YoY</w:t>
            </w:r>
          </w:p>
        </w:tc>
        <w:tc>
          <w:tcPr>
            <w:tcW w:type="dxa" w:w="1234"/>
          </w:tcPr>
          <w:p>
            <w:r>
              <w:rPr>
                <w:rFonts w:ascii="Calibri" w:hAnsi="Calibri"/>
                <w:sz w:val="22"/>
              </w:rPr>
              <w:t>No explicit EPS guidance</w:t>
            </w:r>
          </w:p>
        </w:tc>
        <w:tc>
          <w:tcPr>
            <w:tcW w:type="dxa" w:w="1234"/>
          </w:tcPr>
          <w:p>
            <w:r>
              <w:rPr>
                <w:rFonts w:ascii="Calibri" w:hAnsi="Calibri"/>
                <w:sz w:val="22"/>
              </w:rPr>
              <w:t>N/A</w:t>
            </w:r>
          </w:p>
        </w:tc>
      </w:tr>
    </w:tbl>
    <w:p>
      <w:r>
        <w:rPr>
          <w:rFonts w:ascii="Calibri" w:hAnsi="Calibri"/>
          <w:i/>
          <w:color w:val="525866"/>
          <w:sz w:val="22"/>
        </w:rPr>
        <w:t>¹ Source: Visible Alpha Consensus and Actuals Data (https://insights.visiblealpha.com/mex/GOOGL/NMV/IS, /RV, /SG, /CF). Q2 2025 actuals and Q1 2026 actuals from Visible Alpha; Q2 2026 consensus as of July 21, 2026. Operating margin consensus shown on operating (adjusted) basis per Visible Alpha “Operating margin — Operating(%)” KPI.</w:t>
      </w:r>
    </w:p>
    <w:p>
      <w:pPr>
        <w:pStyle w:val="Heading3"/>
      </w:pPr>
      <w:r>
        <w:rPr>
          <w:rFonts w:ascii="Calibri" w:hAnsi="Calibri"/>
          <w:b/>
          <w:color w:val="3B4259"/>
          <w:sz w:val="24"/>
        </w:rPr>
        <w:t>Table 2 — Beat/Miss History: Last 8 Quarters (Top 2 KPIs: Google Cloud Revenue &amp; Google Search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($B)</w:t>
            </w:r>
          </w:p>
        </w:tc>
        <w:tc>
          <w:tcPr>
            <w:tcW w:type="dxa" w:w="1440"/>
            <w:shd w:val="clear" w:color="auto" w:fill="3B4259"/>
          </w:tcPr>
          <w:p>
            <w:r>
              <w:rPr>
                <w:rFonts w:ascii="Calibri" w:hAnsi="Calibri"/>
                <w:b/>
                <w:color w:val="FFFFFF"/>
                <w:sz w:val="22"/>
              </w:rPr>
              <w:t>Consensus ($B)</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Google Cloud Revenue</w:t>
            </w:r>
          </w:p>
        </w:tc>
        <w:tc>
          <w:tcPr>
            <w:tcW w:type="dxa" w:w="1440"/>
          </w:tcPr>
          <w:p>
            <w:r>
              <w:rPr>
                <w:rFonts w:ascii="Calibri" w:hAnsi="Calibri"/>
                <w:sz w:val="22"/>
              </w:rPr>
              <w:t>$20.03B</w:t>
            </w:r>
          </w:p>
        </w:tc>
        <w:tc>
          <w:tcPr>
            <w:tcW w:type="dxa" w:w="1440"/>
          </w:tcPr>
          <w:p>
            <w:r>
              <w:rPr>
                <w:rFonts w:ascii="Calibri" w:hAnsi="Calibri"/>
                <w:sz w:val="22"/>
              </w:rPr>
              <w:t>$18.41B ¹</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Google Search &amp; Other Revenue</w:t>
            </w:r>
          </w:p>
        </w:tc>
        <w:tc>
          <w:tcPr>
            <w:tcW w:type="dxa" w:w="1440"/>
          </w:tcPr>
          <w:p>
            <w:r>
              <w:rPr>
                <w:rFonts w:ascii="Calibri" w:hAnsi="Calibri"/>
                <w:sz w:val="22"/>
              </w:rPr>
              <w:t>$60.40B</w:t>
            </w:r>
          </w:p>
        </w:tc>
        <w:tc>
          <w:tcPr>
            <w:tcW w:type="dxa" w:w="1440"/>
          </w:tcPr>
          <w:p>
            <w:r>
              <w:rPr>
                <w:rFonts w:ascii="Calibri" w:hAnsi="Calibri"/>
                <w:sz w:val="22"/>
              </w:rPr>
              <w:t>$59.01B ¹</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Google Cloud Revenue</w:t>
            </w:r>
          </w:p>
        </w:tc>
        <w:tc>
          <w:tcPr>
            <w:tcW w:type="dxa" w:w="1440"/>
          </w:tcPr>
          <w:p>
            <w:r>
              <w:rPr>
                <w:rFonts w:ascii="Calibri" w:hAnsi="Calibri"/>
                <w:sz w:val="22"/>
              </w:rPr>
              <w:t>$17.66B</w:t>
            </w:r>
          </w:p>
        </w:tc>
        <w:tc>
          <w:tcPr>
            <w:tcW w:type="dxa" w:w="1440"/>
          </w:tcPr>
          <w:p>
            <w:r>
              <w:rPr>
                <w:rFonts w:ascii="Calibri" w:hAnsi="Calibri"/>
                <w:sz w:val="22"/>
              </w:rPr>
              <w:t>$16.29B ¹</w:t>
            </w:r>
          </w:p>
        </w:tc>
        <w:tc>
          <w:tcPr>
            <w:tcW w:type="dxa" w:w="1440"/>
          </w:tcPr>
          <w:p>
            <w:r>
              <w:rPr>
                <w:rFonts w:ascii="Calibri" w:hAnsi="Calibri"/>
                <w:b/>
                <w:color w:val="30A46C"/>
                <w:sz w:val="22"/>
              </w:rPr>
              <w:t>+8.4%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Google Search &amp; Other Revenue</w:t>
            </w:r>
          </w:p>
        </w:tc>
        <w:tc>
          <w:tcPr>
            <w:tcW w:type="dxa" w:w="1440"/>
          </w:tcPr>
          <w:p>
            <w:r>
              <w:rPr>
                <w:rFonts w:ascii="Calibri" w:hAnsi="Calibri"/>
                <w:sz w:val="22"/>
              </w:rPr>
              <w:t>$63.07B</w:t>
            </w:r>
          </w:p>
        </w:tc>
        <w:tc>
          <w:tcPr>
            <w:tcW w:type="dxa" w:w="1440"/>
          </w:tcPr>
          <w:p>
            <w:r>
              <w:rPr>
                <w:rFonts w:ascii="Calibri" w:hAnsi="Calibri"/>
                <w:sz w:val="22"/>
              </w:rPr>
              <w:t>$61.31B ¹</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Google Cloud Revenue</w:t>
            </w:r>
          </w:p>
        </w:tc>
        <w:tc>
          <w:tcPr>
            <w:tcW w:type="dxa" w:w="1440"/>
          </w:tcPr>
          <w:p>
            <w:r>
              <w:rPr>
                <w:rFonts w:ascii="Calibri" w:hAnsi="Calibri"/>
                <w:sz w:val="22"/>
              </w:rPr>
              <w:t>$15.16B</w:t>
            </w:r>
          </w:p>
        </w:tc>
        <w:tc>
          <w:tcPr>
            <w:tcW w:type="dxa" w:w="1440"/>
          </w:tcPr>
          <w:p>
            <w:r>
              <w:rPr>
                <w:rFonts w:ascii="Calibri" w:hAnsi="Calibri"/>
                <w:sz w:val="22"/>
              </w:rPr>
              <w:t>$14.77B ¹</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Google Search &amp; Other Revenue</w:t>
            </w:r>
          </w:p>
        </w:tc>
        <w:tc>
          <w:tcPr>
            <w:tcW w:type="dxa" w:w="1440"/>
          </w:tcPr>
          <w:p>
            <w:r>
              <w:rPr>
                <w:rFonts w:ascii="Calibri" w:hAnsi="Calibri"/>
                <w:sz w:val="22"/>
              </w:rPr>
              <w:t>$56.57B</w:t>
            </w:r>
          </w:p>
        </w:tc>
        <w:tc>
          <w:tcPr>
            <w:tcW w:type="dxa" w:w="1440"/>
          </w:tcPr>
          <w:p>
            <w:r>
              <w:rPr>
                <w:rFonts w:ascii="Calibri" w:hAnsi="Calibri"/>
                <w:sz w:val="22"/>
              </w:rPr>
              <w:t>$55.06B ¹</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Google Cloud Revenue</w:t>
            </w:r>
          </w:p>
        </w:tc>
        <w:tc>
          <w:tcPr>
            <w:tcW w:type="dxa" w:w="1440"/>
          </w:tcPr>
          <w:p>
            <w:r>
              <w:rPr>
                <w:rFonts w:ascii="Calibri" w:hAnsi="Calibri"/>
                <w:sz w:val="22"/>
              </w:rPr>
              <w:t>$13.62B</w:t>
            </w:r>
          </w:p>
        </w:tc>
        <w:tc>
          <w:tcPr>
            <w:tcW w:type="dxa" w:w="1440"/>
          </w:tcPr>
          <w:p>
            <w:r>
              <w:rPr>
                <w:rFonts w:ascii="Calibri" w:hAnsi="Calibri"/>
                <w:sz w:val="22"/>
              </w:rPr>
              <w:t>$13.14B ¹</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Google Search &amp; Other Revenue</w:t>
            </w:r>
          </w:p>
        </w:tc>
        <w:tc>
          <w:tcPr>
            <w:tcW w:type="dxa" w:w="1440"/>
          </w:tcPr>
          <w:p>
            <w:r>
              <w:rPr>
                <w:rFonts w:ascii="Calibri" w:hAnsi="Calibri"/>
                <w:sz w:val="22"/>
              </w:rPr>
              <w:t>$54.19B</w:t>
            </w:r>
          </w:p>
        </w:tc>
        <w:tc>
          <w:tcPr>
            <w:tcW w:type="dxa" w:w="1440"/>
          </w:tcPr>
          <w:p>
            <w:r>
              <w:rPr>
                <w:rFonts w:ascii="Calibri" w:hAnsi="Calibri"/>
                <w:sz w:val="22"/>
              </w:rPr>
              <w:t>$52.92B ¹</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Google Cloud Revenue</w:t>
            </w:r>
          </w:p>
        </w:tc>
        <w:tc>
          <w:tcPr>
            <w:tcW w:type="dxa" w:w="1440"/>
          </w:tcPr>
          <w:p>
            <w:r>
              <w:rPr>
                <w:rFonts w:ascii="Calibri" w:hAnsi="Calibri"/>
                <w:sz w:val="22"/>
              </w:rPr>
              <w:t>$12.26B</w:t>
            </w:r>
          </w:p>
        </w:tc>
        <w:tc>
          <w:tcPr>
            <w:tcW w:type="dxa" w:w="1440"/>
          </w:tcPr>
          <w:p>
            <w:r>
              <w:rPr>
                <w:rFonts w:ascii="Calibri" w:hAnsi="Calibri"/>
                <w:sz w:val="22"/>
              </w:rPr>
              <w:t>$12.27B ¹</w:t>
            </w:r>
          </w:p>
        </w:tc>
        <w:tc>
          <w:tcPr>
            <w:tcW w:type="dxa" w:w="1440"/>
          </w:tcPr>
          <w:p>
            <w:r>
              <w:rPr>
                <w:rFonts w:ascii="Calibri" w:hAnsi="Calibri"/>
                <w:b/>
                <w:color w:val="E5484D"/>
                <w:sz w:val="22"/>
              </w:rPr>
              <w:t>-0.1%</w:t>
            </w:r>
          </w:p>
        </w:tc>
        <w:tc>
          <w:tcPr>
            <w:tcW w:type="dxa" w:w="1440"/>
          </w:tcPr>
          <w:p>
            <w:r>
              <w:rPr>
                <w:rFonts w:ascii="Calibri" w:hAnsi="Calibri"/>
                <w:b/>
                <w:sz w:val="22"/>
              </w:rPr>
              <w:t>INLINE</w:t>
            </w:r>
          </w:p>
        </w:tc>
      </w:tr>
      <w:tr>
        <w:tc>
          <w:tcPr>
            <w:tcW w:type="dxa" w:w="1440"/>
          </w:tcPr>
          <w:p>
            <w:r>
              <w:rPr>
                <w:rFonts w:ascii="Calibri" w:hAnsi="Calibri"/>
                <w:sz w:val="22"/>
              </w:rPr>
              <w:t>Q1 2025</w:t>
            </w:r>
          </w:p>
        </w:tc>
        <w:tc>
          <w:tcPr>
            <w:tcW w:type="dxa" w:w="1440"/>
          </w:tcPr>
          <w:p>
            <w:r>
              <w:rPr>
                <w:rFonts w:ascii="Calibri" w:hAnsi="Calibri"/>
                <w:sz w:val="22"/>
              </w:rPr>
              <w:t>Google Search &amp; Other Revenue</w:t>
            </w:r>
          </w:p>
        </w:tc>
        <w:tc>
          <w:tcPr>
            <w:tcW w:type="dxa" w:w="1440"/>
          </w:tcPr>
          <w:p>
            <w:r>
              <w:rPr>
                <w:rFonts w:ascii="Calibri" w:hAnsi="Calibri"/>
                <w:sz w:val="22"/>
              </w:rPr>
              <w:t>$50.70B</w:t>
            </w:r>
          </w:p>
        </w:tc>
        <w:tc>
          <w:tcPr>
            <w:tcW w:type="dxa" w:w="1440"/>
          </w:tcPr>
          <w:p>
            <w:r>
              <w:rPr>
                <w:rFonts w:ascii="Calibri" w:hAnsi="Calibri"/>
                <w:sz w:val="22"/>
              </w:rPr>
              <w:t>$50.38B ¹</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Google Cloud Revenue</w:t>
            </w:r>
          </w:p>
        </w:tc>
        <w:tc>
          <w:tcPr>
            <w:tcW w:type="dxa" w:w="1440"/>
          </w:tcPr>
          <w:p>
            <w:r>
              <w:rPr>
                <w:rFonts w:ascii="Calibri" w:hAnsi="Calibri"/>
                <w:sz w:val="22"/>
              </w:rPr>
              <w:t>$11.96B</w:t>
            </w:r>
          </w:p>
        </w:tc>
        <w:tc>
          <w:tcPr>
            <w:tcW w:type="dxa" w:w="1440"/>
          </w:tcPr>
          <w:p>
            <w:r>
              <w:rPr>
                <w:rFonts w:ascii="Calibri" w:hAnsi="Calibri"/>
                <w:sz w:val="22"/>
              </w:rPr>
              <w:t>$12.17B ¹</w:t>
            </w:r>
          </w:p>
        </w:tc>
        <w:tc>
          <w:tcPr>
            <w:tcW w:type="dxa" w:w="1440"/>
          </w:tcPr>
          <w:p>
            <w:r>
              <w:rPr>
                <w:rFonts w:ascii="Calibri" w:hAnsi="Calibri"/>
                <w:b/>
                <w:color w:val="E5484D"/>
                <w:sz w:val="22"/>
              </w:rPr>
              <w:t>-1.7%</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Google Search &amp; Other Revenue</w:t>
            </w:r>
          </w:p>
        </w:tc>
        <w:tc>
          <w:tcPr>
            <w:tcW w:type="dxa" w:w="1440"/>
          </w:tcPr>
          <w:p>
            <w:r>
              <w:rPr>
                <w:rFonts w:ascii="Calibri" w:hAnsi="Calibri"/>
                <w:sz w:val="22"/>
              </w:rPr>
              <w:t>$54.03B</w:t>
            </w:r>
          </w:p>
        </w:tc>
        <w:tc>
          <w:tcPr>
            <w:tcW w:type="dxa" w:w="1440"/>
          </w:tcPr>
          <w:p>
            <w:r>
              <w:rPr>
                <w:rFonts w:ascii="Calibri" w:hAnsi="Calibri"/>
                <w:sz w:val="22"/>
              </w:rPr>
              <w:t>$53.40B ¹</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Google Cloud Revenue</w:t>
            </w:r>
          </w:p>
        </w:tc>
        <w:tc>
          <w:tcPr>
            <w:tcW w:type="dxa" w:w="1440"/>
          </w:tcPr>
          <w:p>
            <w:r>
              <w:rPr>
                <w:rFonts w:ascii="Calibri" w:hAnsi="Calibri"/>
                <w:sz w:val="22"/>
              </w:rPr>
              <w:t>$11.35B</w:t>
            </w:r>
          </w:p>
        </w:tc>
        <w:tc>
          <w:tcPr>
            <w:tcW w:type="dxa" w:w="1440"/>
          </w:tcPr>
          <w:p>
            <w:r>
              <w:rPr>
                <w:rFonts w:ascii="Calibri" w:hAnsi="Calibri"/>
                <w:sz w:val="22"/>
              </w:rPr>
              <w:t>$10.87B ¹</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Google Search &amp; Other Revenue</w:t>
            </w:r>
          </w:p>
        </w:tc>
        <w:tc>
          <w:tcPr>
            <w:tcW w:type="dxa" w:w="1440"/>
          </w:tcPr>
          <w:p>
            <w:r>
              <w:rPr>
                <w:rFonts w:ascii="Calibri" w:hAnsi="Calibri"/>
                <w:sz w:val="22"/>
              </w:rPr>
              <w:t>$49.39B</w:t>
            </w:r>
          </w:p>
        </w:tc>
        <w:tc>
          <w:tcPr>
            <w:tcW w:type="dxa" w:w="1440"/>
          </w:tcPr>
          <w:p>
            <w:r>
              <w:rPr>
                <w:rFonts w:ascii="Calibri" w:hAnsi="Calibri"/>
                <w:sz w:val="22"/>
              </w:rPr>
              <w:t>$49.15B ¹</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bl>
    <w:p>
      <w:r>
        <w:rPr>
          <w:rFonts w:ascii="Calibri" w:hAnsi="Calibri"/>
          <w:i/>
          <w:color w:val="525866"/>
          <w:sz w:val="22"/>
        </w:rPr>
        <w:t>¹ Source: Visible Alpha Consensus and Actuals Data — Google cloud revenue (https://insights.visiblealpha.com/mex/GOOGL/NMV/RV); Google Search &amp; other revenue (https://insights.visiblealpha.com/mex/GOOGL/NMV/RV). Consensus figures represent the latest available consensus at time of each print.</w:t>
      </w:r>
    </w:p>
    <w:p>
      <w:r>
        <w:rPr>
          <w:rFonts w:ascii="Calibri" w:hAnsi="Calibri"/>
          <w:b/>
          <w:color w:val="525866"/>
          <w:sz w:val="22"/>
        </w:rPr>
        <w:t xml:space="preserve">Pattern: </w:t>
      </w:r>
      <w:r>
        <w:rPr>
          <w:rFonts w:ascii="Calibri" w:hAnsi="Calibri"/>
          <w:color w:val="525866"/>
          <w:sz w:val="22"/>
        </w:rPr>
        <w:t>GOOGL has beaten Cloud consensus in 6 of the last 8 quarters (with one inline and one miss in Q4 2024), and beaten Search consensus in 7 of 8 quarters — a consistent track record of modest upside that sets a credible but not demanding bar for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29), but the tone remains firmly bullish on Cloud and Search; the only incremental negative is the Gemini 3.5 Pro delay (Bloomberg, July 16) and a modest FX tailwind step-down from 3pp to ~1pp in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CapEx</w:t>
            </w:r>
          </w:p>
        </w:tc>
        <w:tc>
          <w:tcPr>
            <w:tcW w:type="dxa" w:w="1728"/>
          </w:tcPr>
          <w:p>
            <w:r>
              <w:rPr>
                <w:rFonts w:ascii="Calibri" w:hAnsi="Calibri"/>
                <w:sz w:val="22"/>
              </w:rPr>
              <w:t>$180–190B (raised from $175–185B to include Intersect acquisition)</w:t>
            </w:r>
          </w:p>
        </w:tc>
        <w:tc>
          <w:tcPr>
            <w:tcW w:type="dxa" w:w="1728"/>
          </w:tcPr>
          <w:p>
            <w:r>
              <w:rPr>
                <w:rFonts w:ascii="Calibri" w:hAnsi="Calibri"/>
                <w:sz w:val="22"/>
              </w:rPr>
              <w:t>—</w:t>
            </w:r>
          </w:p>
        </w:tc>
        <w:tc>
          <w:tcPr>
            <w:tcW w:type="dxa" w:w="1728"/>
          </w:tcPr>
          <w:p>
            <w:r>
              <w:rPr>
                <w:rFonts w:ascii="Calibri" w:hAnsi="Calibri"/>
                <w:sz w:val="22"/>
              </w:rPr>
              <w:t>$187.7B ¹</w:t>
            </w:r>
          </w:p>
        </w:tc>
        <w:tc>
          <w:tcPr>
            <w:tcW w:type="dxa" w:w="1728"/>
          </w:tcPr>
          <w:p>
            <w:r>
              <w:rPr>
                <w:rFonts w:ascii="Calibri" w:hAnsi="Calibri"/>
                <w:sz w:val="22"/>
              </w:rPr>
              <w:t>Unchanged since Q1 call; BofA raised its own estimate to $195B (July 7) citing rising memory costs</w:t>
            </w:r>
          </w:p>
        </w:tc>
      </w:tr>
      <w:tr>
        <w:tc>
          <w:tcPr>
            <w:tcW w:type="dxa" w:w="1728"/>
          </w:tcPr>
          <w:p>
            <w:r>
              <w:rPr>
                <w:rFonts w:ascii="Calibri" w:hAnsi="Calibri"/>
                <w:sz w:val="22"/>
              </w:rPr>
              <w:t>2027 CapEx</w:t>
            </w:r>
          </w:p>
        </w:tc>
        <w:tc>
          <w:tcPr>
            <w:tcW w:type="dxa" w:w="1728"/>
          </w:tcPr>
          <w:p>
            <w:r>
              <w:rPr>
                <w:rFonts w:ascii="Calibri" w:hAnsi="Calibri"/>
                <w:sz w:val="22"/>
              </w:rPr>
              <w:t>"Significantly increase" vs. 2026</w:t>
            </w:r>
          </w:p>
        </w:tc>
        <w:tc>
          <w:tcPr>
            <w:tcW w:type="dxa" w:w="1728"/>
          </w:tcPr>
          <w:p>
            <w:r>
              <w:rPr>
                <w:rFonts w:ascii="Calibri" w:hAnsi="Calibri"/>
                <w:sz w:val="22"/>
              </w:rPr>
              <w:t>—</w:t>
            </w:r>
          </w:p>
        </w:tc>
        <w:tc>
          <w:tcPr>
            <w:tcW w:type="dxa" w:w="1728"/>
          </w:tcPr>
          <w:p>
            <w:r>
              <w:rPr>
                <w:rFonts w:ascii="Calibri" w:hAnsi="Calibri"/>
                <w:sz w:val="22"/>
              </w:rPr>
              <w:t>$290B (BofA est.)</w:t>
            </w:r>
          </w:p>
        </w:tc>
        <w:tc>
          <w:tcPr>
            <w:tcW w:type="dxa" w:w="1728"/>
          </w:tcPr>
          <w:p>
            <w:r>
              <w:rPr>
                <w:rFonts w:ascii="Calibri" w:hAnsi="Calibri"/>
                <w:sz w:val="22"/>
              </w:rPr>
              <w:t>No formal guidance; BofA raised estimate from $257B to $290B (July 7)</w:t>
            </w:r>
          </w:p>
        </w:tc>
      </w:tr>
      <w:tr>
        <w:tc>
          <w:tcPr>
            <w:tcW w:type="dxa" w:w="1728"/>
          </w:tcPr>
          <w:p>
            <w:r>
              <w:rPr>
                <w:rFonts w:ascii="Calibri" w:hAnsi="Calibri"/>
                <w:sz w:val="22"/>
              </w:rPr>
              <w:t>Q2 2026 FX Impact</w:t>
            </w:r>
          </w:p>
        </w:tc>
        <w:tc>
          <w:tcPr>
            <w:tcW w:type="dxa" w:w="1728"/>
          </w:tcPr>
          <w:p>
            <w:r>
              <w:rPr>
                <w:rFonts w:ascii="Calibri" w:hAnsi="Calibri"/>
                <w:sz w:val="22"/>
              </w:rPr>
              <w:t>~1pp tailwind to consolidated revenue (vs. 3pp in Q1)</w:t>
            </w:r>
          </w:p>
        </w:tc>
        <w:tc>
          <w:tcPr>
            <w:tcW w:type="dxa" w:w="1728"/>
          </w:tcPr>
          <w:p>
            <w:r>
              <w:rPr>
                <w:rFonts w:ascii="Calibri" w:hAnsi="Calibri"/>
                <w:sz w:val="22"/>
              </w:rPr>
              <w:t>—</w:t>
            </w:r>
          </w:p>
        </w:tc>
        <w:tc>
          <w:tcPr>
            <w:tcW w:type="dxa" w:w="1728"/>
          </w:tcPr>
          <w:p>
            <w:r>
              <w:rPr>
                <w:rFonts w:ascii="Calibri" w:hAnsi="Calibri"/>
                <w:sz w:val="22"/>
              </w:rPr>
              <w:t>N/A (directional only)</w:t>
            </w:r>
          </w:p>
        </w:tc>
        <w:tc>
          <w:tcPr>
            <w:tcW w:type="dxa" w:w="1728"/>
          </w:tcPr>
          <w:p>
            <w:r>
              <w:rPr>
                <w:rFonts w:ascii="Calibri" w:hAnsi="Calibri"/>
                <w:sz w:val="22"/>
              </w:rPr>
              <w:t>Unchanged; step-down from Q1 is a known headwind to reported growth</w:t>
            </w:r>
          </w:p>
        </w:tc>
      </w:tr>
      <w:tr>
        <w:tc>
          <w:tcPr>
            <w:tcW w:type="dxa" w:w="1728"/>
          </w:tcPr>
          <w:p>
            <w:r>
              <w:rPr>
                <w:rFonts w:ascii="Calibri" w:hAnsi="Calibri"/>
                <w:sz w:val="22"/>
              </w:rPr>
              <w:t>Google Cloud Operating Margin</w:t>
            </w:r>
          </w:p>
        </w:tc>
        <w:tc>
          <w:tcPr>
            <w:tcW w:type="dxa" w:w="1728"/>
          </w:tcPr>
          <w:p>
            <w:r>
              <w:rPr>
                <w:rFonts w:ascii="Calibri" w:hAnsi="Calibri"/>
                <w:sz w:val="22"/>
              </w:rPr>
              <w:t>Low single-digit pp headwind from Wiz acquisition for remainder of 2026</w:t>
            </w:r>
          </w:p>
        </w:tc>
        <w:tc>
          <w:tcPr>
            <w:tcW w:type="dxa" w:w="1728"/>
          </w:tcPr>
          <w:p>
            <w:r>
              <w:rPr>
                <w:rFonts w:ascii="Calibri" w:hAnsi="Calibri"/>
                <w:sz w:val="22"/>
              </w:rPr>
              <w:t>—</w:t>
            </w:r>
          </w:p>
        </w:tc>
        <w:tc>
          <w:tcPr>
            <w:tcW w:type="dxa" w:w="1728"/>
          </w:tcPr>
          <w:p>
            <w:r>
              <w:rPr>
                <w:rFonts w:ascii="Calibri" w:hAnsi="Calibri"/>
                <w:sz w:val="22"/>
              </w:rPr>
              <w:t>~30.9% implied ¹</w:t>
            </w:r>
          </w:p>
        </w:tc>
        <w:tc>
          <w:tcPr>
            <w:tcW w:type="dxa" w:w="1728"/>
          </w:tcPr>
          <w:p>
            <w:r>
              <w:rPr>
                <w:rFonts w:ascii="Calibri" w:hAnsi="Calibri"/>
                <w:sz w:val="22"/>
              </w:rPr>
              <w:t>Unchanged; Wiz headwind is a known drag; consensus implies ~2pp compression vs. Q1's 32.9%</w:t>
            </w:r>
          </w:p>
        </w:tc>
      </w:tr>
      <w:tr>
        <w:tc>
          <w:tcPr>
            <w:tcW w:type="dxa" w:w="1728"/>
          </w:tcPr>
          <w:p>
            <w:r>
              <w:rPr>
                <w:rFonts w:ascii="Calibri" w:hAnsi="Calibri"/>
                <w:sz w:val="22"/>
              </w:rPr>
              <w:t>Consolidated Operating Margin</w:t>
            </w:r>
          </w:p>
        </w:tc>
        <w:tc>
          <w:tcPr>
            <w:tcW w:type="dxa" w:w="1728"/>
          </w:tcPr>
          <w:p>
            <w:r>
              <w:rPr>
                <w:rFonts w:ascii="Calibri" w:hAnsi="Calibri"/>
                <w:sz w:val="22"/>
              </w:rPr>
              <w:t>Depreciation headwind from CapEx ramp; continued hiring in AI/Cloud; no explicit % target</w:t>
            </w:r>
          </w:p>
        </w:tc>
        <w:tc>
          <w:tcPr>
            <w:tcW w:type="dxa" w:w="1728"/>
          </w:tcPr>
          <w:p>
            <w:r>
              <w:rPr>
                <w:rFonts w:ascii="Calibri" w:hAnsi="Calibri"/>
                <w:sz w:val="22"/>
              </w:rPr>
              <w:t>—</w:t>
            </w:r>
          </w:p>
        </w:tc>
        <w:tc>
          <w:tcPr>
            <w:tcW w:type="dxa" w:w="1728"/>
          </w:tcPr>
          <w:p>
            <w:r>
              <w:rPr>
                <w:rFonts w:ascii="Calibri" w:hAnsi="Calibri"/>
                <w:sz w:val="22"/>
              </w:rPr>
              <w:t>~47.8% (operating basis) ¹</w:t>
            </w:r>
          </w:p>
        </w:tc>
        <w:tc>
          <w:tcPr>
            <w:tcW w:type="dxa" w:w="1728"/>
          </w:tcPr>
          <w:p>
            <w:r>
              <w:rPr>
                <w:rFonts w:ascii="Calibri" w:hAnsi="Calibri"/>
                <w:sz w:val="22"/>
              </w:rPr>
              <w:t>Unchanged; management committed to efficiency push despite depreciation headwind</w:t>
            </w:r>
          </w:p>
        </w:tc>
      </w:tr>
      <w:tr>
        <w:tc>
          <w:tcPr>
            <w:tcW w:type="dxa" w:w="1728"/>
          </w:tcPr>
          <w:p>
            <w:r>
              <w:rPr>
                <w:rFonts w:ascii="Calibri" w:hAnsi="Calibri"/>
                <w:sz w:val="22"/>
              </w:rPr>
              <w:t>Gemini 3.5 Pro Launch</w:t>
            </w:r>
          </w:p>
        </w:tc>
        <w:tc>
          <w:tcPr>
            <w:tcW w:type="dxa" w:w="1728"/>
          </w:tcPr>
          <w:p>
            <w:r>
              <w:rPr>
                <w:rFonts w:ascii="Calibri" w:hAnsi="Calibri"/>
                <w:sz w:val="22"/>
              </w:rPr>
              <w:t>Teased for broader rollout in June 2026 (announced May)</w:t>
            </w:r>
          </w:p>
        </w:tc>
        <w:tc>
          <w:tcPr>
            <w:tcW w:type="dxa" w:w="1728"/>
          </w:tcPr>
          <w:p>
            <w:r>
              <w:rPr>
                <w:rFonts w:ascii="Calibri" w:hAnsi="Calibri"/>
                <w:sz w:val="22"/>
              </w:rPr>
              <w:t>Delayed — Bloomberg (July 16): internal testing shortfalls in coding; Logan Kilpatrick says testing with partners, hopes to "land soon"</w:t>
            </w:r>
          </w:p>
        </w:tc>
        <w:tc>
          <w:tcPr>
            <w:tcW w:type="dxa" w:w="1728"/>
          </w:tcPr>
          <w:p>
            <w:r>
              <w:rPr>
                <w:rFonts w:ascii="Calibri" w:hAnsi="Calibri"/>
                <w:sz w:val="22"/>
              </w:rPr>
              <w:t>N/A</w:t>
            </w:r>
          </w:p>
        </w:tc>
        <w:tc>
          <w:tcPr>
            <w:tcW w:type="dxa" w:w="1728"/>
          </w:tcPr>
          <w:p>
            <w:r>
              <w:rPr>
                <w:rFonts w:ascii="Calibri" w:hAnsi="Calibri"/>
                <w:sz w:val="22"/>
              </w:rPr>
              <w:t>↓ Negative tone shift; risk to frontier model competitive positioning vs. OpenAI/Anthropic</w:t>
            </w:r>
          </w:p>
        </w:tc>
      </w:tr>
      <w:tr>
        <w:tc>
          <w:tcPr>
            <w:tcW w:type="dxa" w:w="1728"/>
          </w:tcPr>
          <w:p>
            <w:r>
              <w:rPr>
                <w:rFonts w:ascii="Calibri" w:hAnsi="Calibri"/>
                <w:sz w:val="22"/>
              </w:rPr>
              <w:t>Quarterly Dividend</w:t>
            </w:r>
          </w:p>
        </w:tc>
        <w:tc>
          <w:tcPr>
            <w:tcW w:type="dxa" w:w="1728"/>
          </w:tcPr>
          <w:p>
            <w:r>
              <w:rPr>
                <w:rFonts w:ascii="Calibri" w:hAnsi="Calibri"/>
                <w:sz w:val="22"/>
              </w:rPr>
              <w:t>$0.22/share (5% increase declared Apr 27,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Paid June 15, 2026; no further changes</w:t>
            </w:r>
          </w:p>
        </w:tc>
      </w:tr>
      <w:tr>
        <w:tc>
          <w:tcPr>
            <w:tcW w:type="dxa" w:w="1728"/>
          </w:tcPr>
          <w:p>
            <w:r>
              <w:rPr>
                <w:rFonts w:ascii="Calibri" w:hAnsi="Calibri"/>
                <w:sz w:val="22"/>
              </w:rPr>
              <w:t>Share Repurchase</w:t>
            </w:r>
          </w:p>
        </w:tc>
        <w:tc>
          <w:tcPr>
            <w:tcW w:type="dxa" w:w="1728"/>
          </w:tcPr>
          <w:p>
            <w:r>
              <w:rPr>
                <w:rFonts w:ascii="Calibri" w:hAnsi="Calibri"/>
                <w:sz w:val="22"/>
              </w:rPr>
              <w:t>New $70B authorization announced Apr 29,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execution pace to be watched given elevated CapEx and debt issuance</w:t>
            </w:r>
          </w:p>
        </w:tc>
      </w:tr>
    </w:tbl>
    <w:p>
      <w:r>
        <w:rPr>
          <w:rFonts w:ascii="Calibri" w:hAnsi="Calibri"/>
          <w:i/>
          <w:color w:val="525866"/>
          <w:sz w:val="22"/>
        </w:rPr>
        <w:t>¹ Source: Visible Alpha Consensus and Actuals Data (https://insights.visiblealpha.com/mex/GOOGL/NMV/CF, /IS, /SG). Consensus as of July 21,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Revenue and Cloud estimates have been stable-to-slightly-higher since the Q1 print, validating management's bullish tone; however, FY2026 operating EPS has been revised down ~13% as the market prices in accelerating depreciation from the CapEx ramp — this is a known, guided headwind rather than a surprise, and does not change the revenue/Cloud growth thesis.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Consolidated Revenue (Q2 2026)</w:t>
            </w:r>
          </w:p>
        </w:tc>
        <w:tc>
          <w:tcPr>
            <w:tcW w:type="dxa" w:w="1080"/>
          </w:tcPr>
          <w:p>
            <w:r>
              <w:rPr>
                <w:rFonts w:ascii="Calibri" w:hAnsi="Calibri"/>
                <w:sz w:val="22"/>
              </w:rPr>
              <w:t>$116.86B ¹</w:t>
            </w:r>
          </w:p>
        </w:tc>
        <w:tc>
          <w:tcPr>
            <w:tcW w:type="dxa" w:w="1080"/>
          </w:tcPr>
          <w:p>
            <w:r>
              <w:rPr>
                <w:rFonts w:ascii="Calibri" w:hAnsi="Calibri"/>
                <w:sz w:val="22"/>
              </w:rPr>
              <w:t>$117.17B ¹</w:t>
            </w:r>
          </w:p>
        </w:tc>
        <w:tc>
          <w:tcPr>
            <w:tcW w:type="dxa" w:w="1080"/>
          </w:tcPr>
          <w:p>
            <w:r>
              <w:rPr>
                <w:rFonts w:ascii="Calibri" w:hAnsi="Calibri"/>
                <w:b/>
                <w:color w:val="30A46C"/>
                <w:sz w:val="22"/>
              </w:rPr>
              <w:t>+0.3%</w:t>
            </w:r>
          </w:p>
        </w:tc>
        <w:tc>
          <w:tcPr>
            <w:tcW w:type="dxa" w:w="1080"/>
          </w:tcPr>
          <w:p>
            <w:r>
              <w:rPr>
                <w:rFonts w:ascii="Calibri" w:hAnsi="Calibri"/>
                <w:sz w:val="22"/>
              </w:rPr>
              <w:t>~1pp FX tailwind; no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Consolidated Revenue (FY2026)</w:t>
            </w:r>
          </w:p>
        </w:tc>
        <w:tc>
          <w:tcPr>
            <w:tcW w:type="dxa" w:w="1080"/>
          </w:tcPr>
          <w:p>
            <w:r>
              <w:rPr>
                <w:rFonts w:ascii="Calibri" w:hAnsi="Calibri"/>
                <w:sz w:val="22"/>
              </w:rPr>
              <w:t>$485.3B ¹</w:t>
            </w:r>
          </w:p>
        </w:tc>
        <w:tc>
          <w:tcPr>
            <w:tcW w:type="dxa" w:w="1080"/>
          </w:tcPr>
          <w:p>
            <w:r>
              <w:rPr>
                <w:rFonts w:ascii="Calibri" w:hAnsi="Calibri"/>
                <w:sz w:val="22"/>
              </w:rPr>
              <w:t>$488.1B ¹</w:t>
            </w:r>
          </w:p>
        </w:tc>
        <w:tc>
          <w:tcPr>
            <w:tcW w:type="dxa" w:w="1080"/>
          </w:tcPr>
          <w:p>
            <w:r>
              <w:rPr>
                <w:rFonts w:ascii="Calibri" w:hAnsi="Calibri"/>
                <w:b/>
                <w:color w:val="30A46C"/>
                <w:sz w:val="22"/>
              </w:rPr>
              <w:t>+0.6%</w:t>
            </w:r>
          </w:p>
        </w:tc>
        <w:tc>
          <w:tcPr>
            <w:tcW w:type="dxa" w:w="1080"/>
          </w:tcPr>
          <w:p>
            <w:r>
              <w:rPr>
                <w:rFonts w:ascii="Calibri" w:hAnsi="Calibri"/>
                <w:sz w:val="22"/>
              </w:rPr>
              <w:t>No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Google Cloud Revenue (Q2 2026)</w:t>
            </w:r>
          </w:p>
        </w:tc>
        <w:tc>
          <w:tcPr>
            <w:tcW w:type="dxa" w:w="1080"/>
          </w:tcPr>
          <w:p>
            <w:r>
              <w:rPr>
                <w:rFonts w:ascii="Calibri" w:hAnsi="Calibri"/>
                <w:sz w:val="22"/>
              </w:rPr>
              <w:t>$22.41B ¹</w:t>
            </w:r>
          </w:p>
        </w:tc>
        <w:tc>
          <w:tcPr>
            <w:tcW w:type="dxa" w:w="1080"/>
          </w:tcPr>
          <w:p>
            <w:r>
              <w:rPr>
                <w:rFonts w:ascii="Calibri" w:hAnsi="Calibri"/>
                <w:sz w:val="22"/>
              </w:rPr>
              <w:t>$22.50B ¹</w:t>
            </w:r>
          </w:p>
        </w:tc>
        <w:tc>
          <w:tcPr>
            <w:tcW w:type="dxa" w:w="1080"/>
          </w:tcPr>
          <w:p>
            <w:r>
              <w:rPr>
                <w:rFonts w:ascii="Calibri" w:hAnsi="Calibri"/>
                <w:b/>
                <w:color w:val="30A46C"/>
                <w:sz w:val="22"/>
              </w:rPr>
              <w:t>+0.4%</w:t>
            </w:r>
          </w:p>
        </w:tc>
        <w:tc>
          <w:tcPr>
            <w:tcW w:type="dxa" w:w="1080"/>
          </w:tcPr>
          <w:p>
            <w:r>
              <w:rPr>
                <w:rFonts w:ascii="Calibri" w:hAnsi="Calibri"/>
                <w:sz w:val="22"/>
              </w:rPr>
              <w:t>Compute-constrained; no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Google Cloud Revenue (FY2026)</w:t>
            </w:r>
          </w:p>
        </w:tc>
        <w:tc>
          <w:tcPr>
            <w:tcW w:type="dxa" w:w="1080"/>
          </w:tcPr>
          <w:p>
            <w:r>
              <w:rPr>
                <w:rFonts w:ascii="Calibri" w:hAnsi="Calibri"/>
                <w:sz w:val="22"/>
              </w:rPr>
              <w:t>$95.11B ¹</w:t>
            </w:r>
          </w:p>
        </w:tc>
        <w:tc>
          <w:tcPr>
            <w:tcW w:type="dxa" w:w="1080"/>
          </w:tcPr>
          <w:p>
            <w:r>
              <w:rPr>
                <w:rFonts w:ascii="Calibri" w:hAnsi="Calibri"/>
                <w:sz w:val="22"/>
              </w:rPr>
              <w:t>$97.17B ¹</w:t>
            </w:r>
          </w:p>
        </w:tc>
        <w:tc>
          <w:tcPr>
            <w:tcW w:type="dxa" w:w="1080"/>
          </w:tcPr>
          <w:p>
            <w:r>
              <w:rPr>
                <w:rFonts w:ascii="Calibri" w:hAnsi="Calibri"/>
                <w:b/>
                <w:color w:val="30A46C"/>
                <w:sz w:val="22"/>
              </w:rPr>
              <w:t>+2.2%</w:t>
            </w:r>
          </w:p>
        </w:tc>
        <w:tc>
          <w:tcPr>
            <w:tcW w:type="dxa" w:w="1080"/>
          </w:tcPr>
          <w:p>
            <w:r>
              <w:rPr>
                <w:rFonts w:ascii="Calibri" w:hAnsi="Calibri"/>
                <w:sz w:val="22"/>
              </w:rPr>
              <w:t>No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Google Search Revenue (Q2 2026)</w:t>
            </w:r>
          </w:p>
        </w:tc>
        <w:tc>
          <w:tcPr>
            <w:tcW w:type="dxa" w:w="1080"/>
          </w:tcPr>
          <w:p>
            <w:r>
              <w:rPr>
                <w:rFonts w:ascii="Calibri" w:hAnsi="Calibri"/>
                <w:sz w:val="22"/>
              </w:rPr>
              <w:t>$63.16B ¹</w:t>
            </w:r>
          </w:p>
        </w:tc>
        <w:tc>
          <w:tcPr>
            <w:tcW w:type="dxa" w:w="1080"/>
          </w:tcPr>
          <w:p>
            <w:r>
              <w:rPr>
                <w:rFonts w:ascii="Calibri" w:hAnsi="Calibri"/>
                <w:sz w:val="22"/>
              </w:rPr>
              <w:t>$63.30B ¹</w:t>
            </w:r>
          </w:p>
        </w:tc>
        <w:tc>
          <w:tcPr>
            <w:tcW w:type="dxa" w:w="1080"/>
          </w:tcPr>
          <w:p>
            <w:r>
              <w:rPr>
                <w:rFonts w:ascii="Calibri" w:hAnsi="Calibri"/>
                <w:b/>
                <w:color w:val="30A46C"/>
                <w:sz w:val="22"/>
              </w:rPr>
              <w:t>+0.2%</w:t>
            </w:r>
          </w:p>
        </w:tc>
        <w:tc>
          <w:tcPr>
            <w:tcW w:type="dxa" w:w="1080"/>
          </w:tcPr>
          <w:p>
            <w:r>
              <w:rPr>
                <w:rFonts w:ascii="Calibri" w:hAnsi="Calibri"/>
                <w:sz w:val="22"/>
              </w:rPr>
              <w:t>No $ guidance; queries at all-time highs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Google Search Revenue (FY2026)</w:t>
            </w:r>
          </w:p>
        </w:tc>
        <w:tc>
          <w:tcPr>
            <w:tcW w:type="dxa" w:w="1080"/>
          </w:tcPr>
          <w:p>
            <w:r>
              <w:rPr>
                <w:rFonts w:ascii="Calibri" w:hAnsi="Calibri"/>
                <w:sz w:val="22"/>
              </w:rPr>
              <w:t>$258.77B ¹</w:t>
            </w:r>
          </w:p>
        </w:tc>
        <w:tc>
          <w:tcPr>
            <w:tcW w:type="dxa" w:w="1080"/>
          </w:tcPr>
          <w:p>
            <w:r>
              <w:rPr>
                <w:rFonts w:ascii="Calibri" w:hAnsi="Calibri"/>
                <w:sz w:val="22"/>
              </w:rPr>
              <w:t>$259.48B ¹</w:t>
            </w:r>
          </w:p>
        </w:tc>
        <w:tc>
          <w:tcPr>
            <w:tcW w:type="dxa" w:w="1080"/>
          </w:tcPr>
          <w:p>
            <w:r>
              <w:rPr>
                <w:rFonts w:ascii="Calibri" w:hAnsi="Calibri"/>
                <w:b/>
                <w:color w:val="30A46C"/>
                <w:sz w:val="22"/>
              </w:rPr>
              <w:t>+0.3%</w:t>
            </w:r>
          </w:p>
        </w:tc>
        <w:tc>
          <w:tcPr>
            <w:tcW w:type="dxa" w:w="1080"/>
          </w:tcPr>
          <w:p>
            <w:r>
              <w:rPr>
                <w:rFonts w:ascii="Calibri" w:hAnsi="Calibri"/>
                <w:sz w:val="22"/>
              </w:rPr>
              <w:t>No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(Q2 2026)</w:t>
            </w:r>
          </w:p>
        </w:tc>
        <w:tc>
          <w:tcPr>
            <w:tcW w:type="dxa" w:w="1080"/>
          </w:tcPr>
          <w:p>
            <w:r>
              <w:rPr>
                <w:rFonts w:ascii="Calibri" w:hAnsi="Calibri"/>
                <w:sz w:val="22"/>
              </w:rPr>
              <w:t>$3.33 ¹</w:t>
            </w:r>
          </w:p>
        </w:tc>
        <w:tc>
          <w:tcPr>
            <w:tcW w:type="dxa" w:w="1080"/>
          </w:tcPr>
          <w:p>
            <w:r>
              <w:rPr>
                <w:rFonts w:ascii="Calibri" w:hAnsi="Calibri"/>
                <w:sz w:val="22"/>
              </w:rPr>
              <w:t>$3.32 ¹</w:t>
            </w:r>
          </w:p>
        </w:tc>
        <w:tc>
          <w:tcPr>
            <w:tcW w:type="dxa" w:w="1080"/>
          </w:tcPr>
          <w:p>
            <w:r>
              <w:rPr>
                <w:rFonts w:ascii="Calibri" w:hAnsi="Calibri"/>
                <w:b/>
                <w:color w:val="E5484D"/>
                <w:sz w:val="22"/>
              </w:rPr>
              <w:t>-0.5%</w:t>
            </w:r>
          </w:p>
        </w:tc>
        <w:tc>
          <w:tcPr>
            <w:tcW w:type="dxa" w:w="1080"/>
          </w:tcPr>
          <w:p>
            <w:r>
              <w:rPr>
                <w:rFonts w:ascii="Calibri" w:hAnsi="Calibri"/>
                <w:sz w:val="22"/>
              </w:rPr>
              <w:t>No explicit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$15.09 ¹</w:t>
            </w:r>
          </w:p>
        </w:tc>
        <w:tc>
          <w:tcPr>
            <w:tcW w:type="dxa" w:w="1080"/>
          </w:tcPr>
          <w:p>
            <w:r>
              <w:rPr>
                <w:rFonts w:ascii="Calibri" w:hAnsi="Calibri"/>
                <w:sz w:val="22"/>
              </w:rPr>
              <w:t>$13.37 ¹</w:t>
            </w:r>
          </w:p>
        </w:tc>
        <w:tc>
          <w:tcPr>
            <w:tcW w:type="dxa" w:w="1080"/>
          </w:tcPr>
          <w:p>
            <w:r>
              <w:rPr>
                <w:rFonts w:ascii="Calibri" w:hAnsi="Calibri"/>
                <w:b/>
                <w:color w:val="E5484D"/>
                <w:sz w:val="22"/>
              </w:rPr>
              <w:t>-11.4%</w:t>
            </w:r>
          </w:p>
        </w:tc>
        <w:tc>
          <w:tcPr>
            <w:tcW w:type="dxa" w:w="1080"/>
          </w:tcPr>
          <w:p>
            <w:r>
              <w:rPr>
                <w:rFonts w:ascii="Calibri" w:hAnsi="Calibri"/>
                <w:sz w:val="22"/>
              </w:rPr>
              <w:t>No explicit EPS guidance; depreciation headwind flagged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 PP&amp;E (Q2 2026)</w:t>
            </w:r>
          </w:p>
        </w:tc>
        <w:tc>
          <w:tcPr>
            <w:tcW w:type="dxa" w:w="1080"/>
          </w:tcPr>
          <w:p>
            <w:r>
              <w:rPr>
                <w:rFonts w:ascii="Calibri" w:hAnsi="Calibri"/>
                <w:sz w:val="22"/>
              </w:rPr>
              <w:t>$44.42B ¹</w:t>
            </w:r>
          </w:p>
        </w:tc>
        <w:tc>
          <w:tcPr>
            <w:tcW w:type="dxa" w:w="1080"/>
          </w:tcPr>
          <w:p>
            <w:r>
              <w:rPr>
                <w:rFonts w:ascii="Calibri" w:hAnsi="Calibri"/>
                <w:sz w:val="22"/>
              </w:rPr>
              <w:t>$44.66B ¹</w:t>
            </w:r>
          </w:p>
        </w:tc>
        <w:tc>
          <w:tcPr>
            <w:tcW w:type="dxa" w:w="1080"/>
          </w:tcPr>
          <w:p>
            <w:r>
              <w:rPr>
                <w:rFonts w:ascii="Calibri" w:hAnsi="Calibri"/>
                <w:b/>
                <w:color w:val="E5484D"/>
                <w:sz w:val="22"/>
              </w:rPr>
              <w:t>+0.5%</w:t>
            </w:r>
          </w:p>
        </w:tc>
        <w:tc>
          <w:tcPr>
            <w:tcW w:type="dxa" w:w="1080"/>
          </w:tcPr>
          <w:p>
            <w:r>
              <w:rPr>
                <w:rFonts w:ascii="Calibri" w:hAnsi="Calibri"/>
                <w:sz w:val="22"/>
              </w:rPr>
              <w:t>FY2026: $180–190B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FY consensus $187.7B vs. midpoint $185B (+1.5%)</w:t>
            </w:r>
          </w:p>
        </w:tc>
      </w:tr>
    </w:tbl>
    <w:p>
      <w:r>
        <w:rPr>
          <w:rFonts w:ascii="Calibri" w:hAnsi="Calibri"/>
          <w:i/>
          <w:color w:val="525866"/>
          <w:sz w:val="22"/>
        </w:rPr>
        <w:t>¹ Source: Visible Alpha Consensus and Actuals Data — Consolidated revenue, EPS — Diluted — Operating (https://insights.visiblealpha.com/mex/GOOGL/NMV/IS); Google cloud revenue, Google Search &amp; other revenue (https://insights.visiblealpha.com/mex/GOOGL/NMV/RV); Purchases of property and equipment (https://insights.visiblealpha.com/mex/GOOGL/NMV/CF). Post-Q1 baseline as of May 6, 2026 (5 trading days post April 29 print); current consensus as of July 21, 2026.</w:t>
      </w:r>
    </w:p>
    <w:p>
      <w:r>
        <w:rPr>
          <w:rFonts w:ascii="Calibri" w:hAnsi="Calibri"/>
          <w:color w:val="525866"/>
          <w:sz w:val="22"/>
        </w:rPr>
        <w:t>Revenue and Cloud estimates have drifted modestly higher since the Q1 print, consistent with management's bullish tone and the strong backlog signal. The sharp FY2026 operating EPS revision (-11.4%) reflects the market pricing in accelerating depreciation from the CapEx ramp — a guided, expected headwind that does not undermine the top-line or Cloud margin story. Q2 EPS is essentially flat, suggesting the depreciation impact is already well-understood at the quarterly level.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GOOGL has essentially round-tripped since the Q1 earnings beat — the stock surged ~10% in the days after the print but has since given back all gains and sits ~1% below the pre-earnings close, underperforming both XLC and SPY over the period. Multiple compression (EV/EBITDA -5.9% over 1 month) is the primary driver, not estimate cuts — suggesting sentiment, not fundamentals, is the headwind.</w:t>
      </w:r>
    </w:p>
    <w:p>
      <w:r>
        <w:rPr>
          <w:rFonts w:ascii="Calibri" w:hAnsi="Calibri"/>
          <w:color w:val="525866"/>
          <w:sz w:val="22"/>
        </w:rPr>
        <w:t>Since the Q1 2026 earnings close (April 29, 2026 at $349.94), GOOGL peaked at ~$402 in early May before a sustained pullback driven by the Gemini 3.5 Pro delay report (Bloomberg, July 16, -4.3% that day) and broader AI spending skepticism. As of July 21, GOOGL trades at $347.15, down ~0.8% from the last earnings close, while XLC is down ~4.6% and SPY is up ~5.2% over the same period. The 12-month picture is dramatically different — GOOGL is up ~88% over the trailing year, with ~39% of that driven by multiple expansion (EV/EBITDA from 11.6x to 16.1x) and the remainder by earnings growth. Near-term, the stock is pricing in neither a beat nor a miss, creating an asymmetric setup if Cloud sustains its acceleration.</w:t>
      </w:r>
    </w:p>
    <w:p>
      <w:r>
        <w:rPr>
          <w:rFonts w:ascii="Calibri" w:hAnsi="Calibri"/>
          <w:b/>
          <w:color w:val="525866"/>
          <w:sz w:val="22"/>
        </w:rPr>
        <w:t xml:space="preserve">Sector ETF: </w:t>
      </w:r>
      <w:r>
        <w:rPr>
          <w:rFonts w:ascii="Calibri" w:hAnsi="Calibri"/>
          <w:color w:val="525866"/>
          <w:sz w:val="22"/>
        </w:rPr>
        <w:t>XLC (Communication Services Select Sector SPDR Fund) — appropriate for Alphabet's sub-sector classification as a Communication Services / Interactive Media &amp; Services company.</w:t>
      </w:r>
    </w:p>
    <w:p>
      <w:r>
        <w:rPr>
          <w:rFonts w:ascii="Calibri" w:hAnsi="Calibri"/>
          <w:i/>
          <w:color w:val="525866"/>
          <w:sz w:val="22"/>
        </w:rPr>
        <w:t>Stock Performance Data Source: Yahoo Finance (Stock Price Data). Performance decomposition data: Implied Research internal analytics.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Period</w:t>
            </w:r>
          </w:p>
        </w:tc>
        <w:tc>
          <w:tcPr>
            <w:tcW w:type="dxa" w:w="1234"/>
            <w:shd w:val="clear" w:color="auto" w:fill="3B4259"/>
          </w:tcPr>
          <w:p>
            <w:r>
              <w:rPr>
                <w:rFonts w:ascii="Calibri" w:hAnsi="Calibri"/>
                <w:b/>
                <w:color w:val="FFFFFF"/>
                <w:sz w:val="22"/>
              </w:rPr>
              <w:t>GOOGL Return</w:t>
            </w:r>
          </w:p>
        </w:tc>
        <w:tc>
          <w:tcPr>
            <w:tcW w:type="dxa" w:w="1234"/>
            <w:shd w:val="clear" w:color="auto" w:fill="3B4259"/>
          </w:tcPr>
          <w:p>
            <w:r>
              <w:rPr>
                <w:rFonts w:ascii="Calibri" w:hAnsi="Calibri"/>
                <w:b/>
                <w:color w:val="FFFFFF"/>
                <w:sz w:val="22"/>
              </w:rPr>
              <w:t>XLC Return</w:t>
            </w:r>
          </w:p>
        </w:tc>
        <w:tc>
          <w:tcPr>
            <w:tcW w:type="dxa" w:w="1234"/>
            <w:shd w:val="clear" w:color="auto" w:fill="3B4259"/>
          </w:tcPr>
          <w:p>
            <w:r>
              <w:rPr>
                <w:rFonts w:ascii="Calibri" w:hAnsi="Calibri"/>
                <w:b/>
                <w:color w:val="FFFFFF"/>
                <w:sz w:val="22"/>
              </w:rPr>
              <w:t>SPY Return</w:t>
            </w:r>
          </w:p>
        </w:tc>
        <w:tc>
          <w:tcPr>
            <w:tcW w:type="dxa" w:w="1234"/>
            <w:shd w:val="clear" w:color="auto" w:fill="3B4259"/>
          </w:tcPr>
          <w:p>
            <w:r>
              <w:rPr>
                <w:rFonts w:ascii="Calibri" w:hAnsi="Calibri"/>
                <w:b/>
                <w:color w:val="FFFFFF"/>
                <w:sz w:val="22"/>
              </w:rPr>
              <w:t>GOOGL vs. XLC</w:t>
            </w:r>
          </w:p>
        </w:tc>
        <w:tc>
          <w:tcPr>
            <w:tcW w:type="dxa" w:w="1234"/>
            <w:shd w:val="clear" w:color="auto" w:fill="3B4259"/>
          </w:tcPr>
          <w:p>
            <w:r>
              <w:rPr>
                <w:rFonts w:ascii="Calibri" w:hAnsi="Calibri"/>
                <w:b/>
                <w:color w:val="FFFFFF"/>
                <w:sz w:val="22"/>
              </w:rPr>
              <w:t>GOOGL vs. SPY</w:t>
            </w:r>
          </w:p>
        </w:tc>
        <w:tc>
          <w:tcPr>
            <w:tcW w:type="dxa" w:w="1234"/>
            <w:shd w:val="clear" w:color="auto" w:fill="3B4259"/>
          </w:tcPr>
          <w:p>
            <w:r>
              <w:rPr>
                <w:rFonts w:ascii="Calibri" w:hAnsi="Calibri"/>
                <w:b/>
                <w:color w:val="FFFFFF"/>
                <w:sz w:val="22"/>
              </w:rPr>
              <w:t>NTM EV/EBITDA Multiple Δ</w:t>
            </w:r>
          </w:p>
        </w:tc>
      </w:tr>
      <w:tr>
        <w:tc>
          <w:tcPr>
            <w:tcW w:type="dxa" w:w="1234"/>
          </w:tcPr>
          <w:p>
            <w:r>
              <w:rPr>
                <w:rFonts w:ascii="Calibri" w:hAnsi="Calibri"/>
                <w:sz w:val="22"/>
              </w:rPr>
              <w:t>Since Last Earnings (Apr 29 → Jul 21)</w:t>
            </w:r>
          </w:p>
        </w:tc>
        <w:tc>
          <w:tcPr>
            <w:tcW w:type="dxa" w:w="1234"/>
          </w:tcPr>
          <w:p>
            <w:r>
              <w:rPr>
                <w:rFonts w:ascii="Calibri" w:hAnsi="Calibri"/>
                <w:sz w:val="22"/>
              </w:rPr>
              <w:t>-0.8%</w:t>
            </w:r>
          </w:p>
        </w:tc>
        <w:tc>
          <w:tcPr>
            <w:tcW w:type="dxa" w:w="1234"/>
          </w:tcPr>
          <w:p>
            <w:r>
              <w:rPr>
                <w:rFonts w:ascii="Calibri" w:hAnsi="Calibri"/>
                <w:sz w:val="22"/>
              </w:rPr>
              <w:t>-4.6%</w:t>
            </w:r>
          </w:p>
        </w:tc>
        <w:tc>
          <w:tcPr>
            <w:tcW w:type="dxa" w:w="1234"/>
          </w:tcPr>
          <w:p>
            <w:r>
              <w:rPr>
                <w:rFonts w:ascii="Calibri" w:hAnsi="Calibri"/>
                <w:sz w:val="22"/>
              </w:rPr>
              <w:t>+5.2%</w:t>
            </w:r>
          </w:p>
        </w:tc>
        <w:tc>
          <w:tcPr>
            <w:tcW w:type="dxa" w:w="1234"/>
          </w:tcPr>
          <w:p>
            <w:r>
              <w:rPr>
                <w:rFonts w:ascii="Calibri" w:hAnsi="Calibri"/>
                <w:sz w:val="22"/>
              </w:rPr>
              <w:t>+3.8pp</w:t>
            </w:r>
          </w:p>
        </w:tc>
        <w:tc>
          <w:tcPr>
            <w:tcW w:type="dxa" w:w="1234"/>
          </w:tcPr>
          <w:p>
            <w:r>
              <w:rPr>
                <w:rFonts w:ascii="Calibri" w:hAnsi="Calibri"/>
                <w:sz w:val="22"/>
              </w:rPr>
              <w:t>-6.0pp</w:t>
            </w:r>
          </w:p>
        </w:tc>
        <w:tc>
          <w:tcPr>
            <w:tcW w:type="dxa" w:w="1234"/>
          </w:tcPr>
          <w:p>
            <w:r>
              <w:rPr>
                <w:rFonts w:ascii="Calibri" w:hAnsi="Calibri"/>
                <w:sz w:val="22"/>
              </w:rPr>
              <w:t>N/A (period-specific)</w:t>
            </w:r>
          </w:p>
        </w:tc>
      </w:tr>
      <w:tr>
        <w:tc>
          <w:tcPr>
            <w:tcW w:type="dxa" w:w="1234"/>
          </w:tcPr>
          <w:p>
            <w:r>
              <w:rPr>
                <w:rFonts w:ascii="Calibri" w:hAnsi="Calibri"/>
                <w:sz w:val="22"/>
              </w:rPr>
              <w:t>1 Month</w:t>
            </w:r>
          </w:p>
        </w:tc>
        <w:tc>
          <w:tcPr>
            <w:tcW w:type="dxa" w:w="1234"/>
          </w:tcPr>
          <w:p>
            <w:r>
              <w:rPr>
                <w:rFonts w:ascii="Calibri" w:hAnsi="Calibri"/>
                <w:sz w:val="22"/>
              </w:rPr>
              <w:t>-5.7%</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-5.9% (17.1x → 16.1x)</w:t>
            </w:r>
          </w:p>
        </w:tc>
      </w:tr>
      <w:tr>
        <w:tc>
          <w:tcPr>
            <w:tcW w:type="dxa" w:w="1234"/>
          </w:tcPr>
          <w:p>
            <w:r>
              <w:rPr>
                <w:rFonts w:ascii="Calibri" w:hAnsi="Calibri"/>
                <w:sz w:val="22"/>
              </w:rPr>
              <w:t>3 Month</w:t>
            </w:r>
          </w:p>
        </w:tc>
        <w:tc>
          <w:tcPr>
            <w:tcW w:type="dxa" w:w="1234"/>
          </w:tcPr>
          <w:p>
            <w:r>
              <w:rPr>
                <w:rFonts w:ascii="Calibri" w:hAnsi="Calibri"/>
                <w:sz w:val="22"/>
              </w:rPr>
              <w:t>+2.9%</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-7.5% (17.4x → 16.1x)</w:t>
            </w:r>
          </w:p>
        </w:tc>
      </w:tr>
      <w:tr>
        <w:tc>
          <w:tcPr>
            <w:tcW w:type="dxa" w:w="1234"/>
          </w:tcPr>
          <w:p>
            <w:r>
              <w:rPr>
                <w:rFonts w:ascii="Calibri" w:hAnsi="Calibri"/>
                <w:sz w:val="22"/>
              </w:rPr>
              <w:t>12 Month</w:t>
            </w:r>
          </w:p>
        </w:tc>
        <w:tc>
          <w:tcPr>
            <w:tcW w:type="dxa" w:w="1234"/>
          </w:tcPr>
          <w:p>
            <w:r>
              <w:rPr>
                <w:rFonts w:ascii="Calibri" w:hAnsi="Calibri"/>
                <w:sz w:val="22"/>
              </w:rPr>
              <w:t>+87.6%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+39.2% (11.6x → 16.1x)</w:t>
            </w:r>
          </w:p>
        </w:tc>
      </w:tr>
    </w:tbl>
    <w:p>
      <w:r>
        <w:rPr>
          <w:rFonts w:ascii="Calibri" w:hAnsi="Calibri"/>
          <w:i/>
          <w:color w:val="525866"/>
          <w:sz w:val="22"/>
        </w:rPr>
        <w:t>Source: Stock price data — Yahoo Finance. NTM EV/EBITDA multiples — Implied Research stock performance decomposition analytics.</w:t>
      </w:r>
    </w:p>
    <w:p>
      <w:r>
        <w:rPr>
          <w:rFonts w:ascii="Calibri" w:hAnsi="Calibri"/>
          <w:b/>
          <w:color w:val="525866"/>
          <w:sz w:val="22"/>
        </w:rPr>
        <w:t>Key Events Since Last Earnings (April 29, 2026):</w:t>
      </w:r>
    </w:p>
    <w:p>
      <w:pPr>
        <w:pStyle w:val="ListBullet"/>
        <w:ind w:left="360" w:hanging="360"/>
      </w:pPr>
      <w:r>
        <w:rPr>
          <w:rFonts w:ascii="Calibri" w:hAnsi="Calibri"/>
          <w:b/>
          <w:color w:val="525866"/>
          <w:sz w:val="22"/>
        </w:rPr>
        <w:t>Apr 29:</w:t>
      </w:r>
      <w:r>
        <w:rPr>
          <w:rFonts w:ascii="Calibri" w:hAnsi="Calibri"/>
          <w:color w:val="525866"/>
          <w:sz w:val="22"/>
        </w:rPr>
        <w:t xml:space="preserve"> Q1 2026 earnings beat — Cloud +63%, backlog $462B, CapEx guidance raised to $180–190B; stock +10% next day to ~$385</w:t>
      </w:r>
    </w:p>
    <w:p>
      <w:pPr>
        <w:pStyle w:val="ListBullet"/>
        <w:ind w:left="360" w:hanging="360"/>
      </w:pPr>
      <w:r>
        <w:rPr>
          <w:rFonts w:ascii="Calibri" w:hAnsi="Calibri"/>
          <w:b/>
          <w:color w:val="525866"/>
          <w:sz w:val="22"/>
        </w:rPr>
        <w:t>May 11:</w:t>
      </w:r>
      <w:r>
        <w:rPr>
          <w:rFonts w:ascii="Calibri" w:hAnsi="Calibri"/>
          <w:color w:val="525866"/>
          <w:sz w:val="22"/>
        </w:rPr>
        <w:t xml:space="preserve"> Alphabet closes €9B + C$9.5B dual-currency senior notes offering (8-K filed)</w:t>
      </w:r>
    </w:p>
    <w:p>
      <w:pPr>
        <w:pStyle w:val="ListBullet"/>
        <w:ind w:left="360" w:hanging="360"/>
      </w:pPr>
      <w:r>
        <w:rPr>
          <w:rFonts w:ascii="Calibri" w:hAnsi="Calibri"/>
          <w:b/>
          <w:color w:val="525866"/>
          <w:sz w:val="22"/>
        </w:rPr>
        <w:t>Jun 11:</w:t>
      </w:r>
      <w:r>
        <w:rPr>
          <w:rFonts w:ascii="Calibri" w:hAnsi="Calibri"/>
          <w:color w:val="525866"/>
          <w:sz w:val="22"/>
        </w:rPr>
        <w:t xml:space="preserve"> Shareholders approve 200M share stock plan increase at annual meeting</w:t>
      </w:r>
    </w:p>
    <w:p>
      <w:pPr>
        <w:pStyle w:val="ListBullet"/>
        <w:ind w:left="360" w:hanging="360"/>
      </w:pPr>
      <w:r>
        <w:rPr>
          <w:rFonts w:ascii="Calibri" w:hAnsi="Calibri"/>
          <w:b/>
          <w:color w:val="525866"/>
          <w:sz w:val="22"/>
        </w:rPr>
        <w:t>Jul 7:</w:t>
      </w:r>
      <w:r>
        <w:rPr>
          <w:rFonts w:ascii="Calibri" w:hAnsi="Calibri"/>
          <w:color w:val="525866"/>
          <w:sz w:val="22"/>
        </w:rPr>
        <w:t xml:space="preserve"> BofA raises CapEx estimates to $195B (2026) and $290B (2027); stock begins drifting lower on spending concerns</w:t>
      </w:r>
    </w:p>
    <w:p>
      <w:pPr>
        <w:pStyle w:val="ListBullet"/>
        <w:ind w:left="360" w:hanging="360"/>
      </w:pPr>
      <w:r>
        <w:rPr>
          <w:rFonts w:ascii="Calibri" w:hAnsi="Calibri"/>
          <w:b/>
          <w:color w:val="525866"/>
          <w:sz w:val="22"/>
        </w:rPr>
        <w:t>Jul 15:</w:t>
      </w:r>
      <w:r>
        <w:rPr>
          <w:rFonts w:ascii="Calibri" w:hAnsi="Calibri"/>
          <w:color w:val="525866"/>
          <w:sz w:val="22"/>
        </w:rPr>
        <w:t xml:space="preserve"> Warren Buffett discloses Berkshire Hathaway initiated GOOGL position; additional $10B private purchase; stock +1.5%</w:t>
      </w:r>
    </w:p>
    <w:p>
      <w:pPr>
        <w:pStyle w:val="ListBullet"/>
        <w:ind w:left="360" w:hanging="360"/>
      </w:pPr>
      <w:r>
        <w:rPr>
          <w:rFonts w:ascii="Calibri" w:hAnsi="Calibri"/>
          <w:b/>
          <w:color w:val="525866"/>
          <w:sz w:val="22"/>
        </w:rPr>
        <w:t>Jul 16:</w:t>
      </w:r>
      <w:r>
        <w:rPr>
          <w:rFonts w:ascii="Calibri" w:hAnsi="Calibri"/>
          <w:color w:val="525866"/>
          <w:sz w:val="22"/>
        </w:rPr>
        <w:t xml:space="preserve"> Bloomberg reports Gemini 3.5 Pro delayed due to internal testing shortfalls in coding; stock -4.3%</w:t>
      </w:r>
    </w:p>
    <w:p>
      <w:pPr>
        <w:pStyle w:val="ListBullet"/>
        <w:ind w:left="360" w:hanging="360"/>
      </w:pPr>
      <w:r>
        <w:rPr>
          <w:rFonts w:ascii="Calibri" w:hAnsi="Calibri"/>
          <w:b/>
          <w:color w:val="525866"/>
          <w:sz w:val="22"/>
        </w:rPr>
        <w:t>Jul 17:</w:t>
      </w:r>
      <w:r>
        <w:rPr>
          <w:rFonts w:ascii="Calibri" w:hAnsi="Calibri"/>
          <w:color w:val="525866"/>
          <w:sz w:val="22"/>
        </w:rPr>
        <w:t xml:space="preserve"> Alphabet stock falls additional -2.3%; China’s Moonshot AI claims Kimi K3 outperforms Google models on intelligence rankings</w:t>
      </w:r>
    </w:p>
    <w:p>
      <w:pPr>
        <w:pStyle w:val="ListBullet"/>
        <w:ind w:left="360" w:hanging="360"/>
      </w:pPr>
      <w:r>
        <w:rPr>
          <w:rFonts w:ascii="Calibri" w:hAnsi="Calibri"/>
          <w:b/>
          <w:color w:val="525866"/>
          <w:sz w:val="22"/>
        </w:rPr>
        <w:t>Jul 20:</w:t>
      </w:r>
      <w:r>
        <w:rPr>
          <w:rFonts w:ascii="Calibri" w:hAnsi="Calibri"/>
          <w:color w:val="525866"/>
          <w:sz w:val="22"/>
        </w:rPr>
        <w:t xml:space="preserve"> Report of new “Frozen v2” AI chip (6–10x more efficient than existing TPUs, targeting 2028 deployment); stock +3%</w:t>
      </w:r>
    </w:p>
    <w:p>
      <w:pPr>
        <w:pStyle w:val="ListBullet"/>
        <w:ind w:left="360" w:hanging="360"/>
      </w:pPr>
      <w:r>
        <w:rPr>
          <w:rFonts w:ascii="Calibri" w:hAnsi="Calibri"/>
          <w:b/>
          <w:color w:val="525866"/>
          <w:sz w:val="22"/>
        </w:rPr>
        <w:t>Jul 21:</w:t>
      </w:r>
      <w:r>
        <w:rPr>
          <w:rFonts w:ascii="Calibri" w:hAnsi="Calibri"/>
          <w:color w:val="525866"/>
          <w:sz w:val="22"/>
        </w:rPr>
        <w:t xml:space="preserve"> Google releases Gemini 3.6 Flash, 3.5 Flash-Lite, and 3.5 Flash Cyber models; Gemini 3.5 Pro still in partner testing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Gemini 3.5 Pro delay (Bloomberg, July 16) — it raises competitive positioning risk vs. OpenAI and Anthropic and will be the first question on the call; partially offset by the Frozen v2 chip efficiency story and Berkshire’s $10B+ investment signaling long-term conviction.</w:t>
      </w:r>
    </w:p>
    <w:p>
      <w:pPr>
        <w:pStyle w:val="ListBullet"/>
        <w:ind w:left="360" w:hanging="360"/>
      </w:pPr>
      <w:r>
        <w:rPr>
          <w:rFonts w:ascii="Calibri" w:hAnsi="Calibri"/>
          <w:b/>
          <w:color w:val="525866"/>
          <w:sz w:val="22"/>
        </w:rPr>
        <w:t>Jul 21, 2026 — Google releases Gemini 3.6 Flash, 3.5 Flash-Lite &amp; 3.5 Flash Cyber:</w:t>
      </w:r>
      <w:r>
        <w:rPr>
          <w:rFonts w:ascii="Calibri" w:hAnsi="Calibri"/>
          <w:color w:val="525866"/>
          <w:sz w:val="22"/>
        </w:rPr>
        <w:t xml:space="preserve"> Three new models launched, with 3.6 Flash positioned as the new “workhorse” (improved coding/multimodal, 17% fewer tokens vs. 3.5 Flash). Notably, the long-anticipated </w:t>
      </w:r>
      <w:r>
        <w:rPr>
          <w:rFonts w:ascii="Calibri" w:hAnsi="Calibri"/>
          <w:b/>
          <w:color w:val="525866"/>
          <w:sz w:val="22"/>
        </w:rPr>
        <w:t>Gemini 3.5 Pro was not included</w:t>
      </w:r>
      <w:r>
        <w:rPr>
          <w:rFonts w:ascii="Calibri" w:hAnsi="Calibri"/>
          <w:color w:val="525866"/>
          <w:sz w:val="22"/>
        </w:rPr>
        <w:t>; Logan Kilpatrick confirmed it is still in partner testing. Implication: positive for Cloud API monetization (cheaper, faster models), but the absence of Pro keeps competitive pressure elevated.</w:t>
      </w:r>
    </w:p>
    <w:p>
      <w:pPr>
        <w:pStyle w:val="ListBullet"/>
        <w:ind w:left="360" w:hanging="360"/>
      </w:pPr>
      <w:r>
        <w:rPr>
          <w:rFonts w:ascii="Calibri" w:hAnsi="Calibri"/>
          <w:b/>
          <w:color w:val="525866"/>
          <w:sz w:val="22"/>
        </w:rPr>
        <w:t>Jul 20, 2026 — “Frozen v2” AI Chip Report (The Information):</w:t>
      </w:r>
      <w:r>
        <w:rPr>
          <w:rFonts w:ascii="Calibri" w:hAnsi="Calibri"/>
          <w:color w:val="525866"/>
          <w:sz w:val="22"/>
        </w:rPr>
        <w:t xml:space="preserve"> Google is developing a new server chip that embeds Gemini model components directly into silicon, targeting 6–10x efficiency improvement over existing TPUs, with deployment as early as 2028. </w:t>
      </w:r>
      <w:r>
        <w:rPr>
          <w:rFonts w:ascii="Calibri" w:hAnsi="Calibri"/>
          <w:b/>
          <w:color w:val="525866"/>
          <w:sz w:val="22"/>
        </w:rPr>
        <w:t>Stock +3% on the news.</w:t>
      </w:r>
      <w:r>
        <w:rPr>
          <w:rFonts w:ascii="Calibri" w:hAnsi="Calibri"/>
          <w:color w:val="525866"/>
          <w:sz w:val="22"/>
        </w:rPr>
        <w:t xml:space="preserve"> Implication: validates the CapEx thesis — if efficiency gains are real, the $180–190B spend generates better ROI than feared; reduces long-term compute cost per token.</w:t>
      </w:r>
    </w:p>
    <w:p>
      <w:pPr>
        <w:pStyle w:val="ListBullet"/>
        <w:ind w:left="360" w:hanging="360"/>
      </w:pPr>
      <w:r>
        <w:rPr>
          <w:rFonts w:ascii="Calibri" w:hAnsi="Calibri"/>
          <w:b/>
          <w:color w:val="525866"/>
          <w:sz w:val="22"/>
        </w:rPr>
        <w:t>Jul 17, 2026 — China’s Moonshot AI Kimi K3 Claims:</w:t>
      </w:r>
      <w:r>
        <w:rPr>
          <w:rFonts w:ascii="Calibri" w:hAnsi="Calibri"/>
          <w:color w:val="525866"/>
          <w:sz w:val="22"/>
        </w:rPr>
        <w:t xml:space="preserve"> Artificial Analysis ranked Kimi K3 ahead of all Google models on intelligence benchmarks. Implication: incremental competitive pressure on frontier model positioning; adds to Gemini Pro delay narrative.</w:t>
      </w:r>
    </w:p>
    <w:p>
      <w:pPr>
        <w:pStyle w:val="ListBullet"/>
        <w:ind w:left="360" w:hanging="360"/>
      </w:pPr>
      <w:r>
        <w:rPr>
          <w:rFonts w:ascii="Calibri" w:hAnsi="Calibri"/>
          <w:b/>
          <w:color w:val="525866"/>
          <w:sz w:val="22"/>
        </w:rPr>
        <w:t>Jul 16, 2026 — Gemini 3.5 Pro Delay (Bloomberg):</w:t>
      </w:r>
      <w:r>
        <w:rPr>
          <w:rFonts w:ascii="Calibri" w:hAnsi="Calibri"/>
          <w:color w:val="525866"/>
          <w:sz w:val="22"/>
        </w:rPr>
        <w:t xml:space="preserve"> Google is months behind schedule on its flagship model after internal testing showed shortfalls in coding capabilities. </w:t>
      </w:r>
      <w:r>
        <w:rPr>
          <w:rFonts w:ascii="Calibri" w:hAnsi="Calibri"/>
          <w:b/>
          <w:color w:val="525866"/>
          <w:sz w:val="22"/>
        </w:rPr>
        <w:t>Stock -4.3% on the day.</w:t>
      </w:r>
      <w:r>
        <w:rPr>
          <w:rFonts w:ascii="Calibri" w:hAnsi="Calibri"/>
          <w:color w:val="525866"/>
          <w:sz w:val="22"/>
        </w:rPr>
        <w:t xml:space="preserve"> Implication: most material negative since Q1 earnings; raises risk that Google falls further behind OpenAI and Anthropic in frontier model rankings; will dominate Q&amp;A on the earnings call.</w:t>
      </w:r>
    </w:p>
    <w:p>
      <w:pPr>
        <w:pStyle w:val="ListBullet"/>
        <w:ind w:left="360" w:hanging="360"/>
      </w:pPr>
      <w:r>
        <w:rPr>
          <w:rFonts w:ascii="Calibri" w:hAnsi="Calibri"/>
          <w:b/>
          <w:color w:val="525866"/>
          <w:sz w:val="22"/>
        </w:rPr>
        <w:t>Jul 16, 2026 — EU Android AI Ruling:</w:t>
      </w:r>
      <w:r>
        <w:rPr>
          <w:rFonts w:ascii="Calibri" w:hAnsi="Calibri"/>
          <w:color w:val="525866"/>
          <w:sz w:val="22"/>
        </w:rPr>
        <w:t xml:space="preserve"> European Commission ordered Google to open Android to rival AI assistants, enabling third-party AI apps to access sensitive device permissions. Google’s Kent Walker called it a security risk. Implication: modest near-term regulatory overhang; could slow Gemini’s default distribution advantage in Europe.</w:t>
      </w:r>
    </w:p>
    <w:p>
      <w:pPr>
        <w:pStyle w:val="ListBullet"/>
        <w:ind w:left="360" w:hanging="360"/>
      </w:pPr>
      <w:r>
        <w:rPr>
          <w:rFonts w:ascii="Calibri" w:hAnsi="Calibri"/>
          <w:b/>
          <w:color w:val="525866"/>
          <w:sz w:val="22"/>
        </w:rPr>
        <w:t>Jul 15, 2026 — Berkshire Hathaway Discloses GOOGL Investment:</w:t>
      </w:r>
      <w:r>
        <w:rPr>
          <w:rFonts w:ascii="Calibri" w:hAnsi="Calibri"/>
          <w:color w:val="525866"/>
          <w:sz w:val="22"/>
        </w:rPr>
        <w:t xml:space="preserve"> Warren Buffett confirmed Berkshire initiated its GOOGL position (first disclosed Q3 2025) and added $10B via private stock purchase. Implication: </w:t>
      </w:r>
      <w:r>
        <w:rPr>
          <w:rFonts w:ascii="Calibri" w:hAnsi="Calibri"/>
          <w:b/>
          <w:color w:val="525866"/>
          <w:sz w:val="22"/>
        </w:rPr>
        <w:t>significant long-term endorsement</w:t>
      </w:r>
      <w:r>
        <w:rPr>
          <w:rFonts w:ascii="Calibri" w:hAnsi="Calibri"/>
          <w:color w:val="525866"/>
          <w:sz w:val="22"/>
        </w:rPr>
        <w:t xml:space="preserve"> from the world’s most prominent value investor; positive sentiment signal ahead of earnings.</w:t>
      </w:r>
    </w:p>
    <w:p>
      <w:pPr>
        <w:pStyle w:val="ListBullet"/>
        <w:ind w:left="360" w:hanging="360"/>
      </w:pPr>
      <w:r>
        <w:rPr>
          <w:rFonts w:ascii="Calibri" w:hAnsi="Calibri"/>
          <w:b/>
          <w:color w:val="525866"/>
          <w:sz w:val="22"/>
        </w:rPr>
        <w:t>Jul 15, 2026 — EU Fines Google Hundreds of Millions of Euros:</w:t>
      </w:r>
      <w:r>
        <w:rPr>
          <w:rFonts w:ascii="Calibri" w:hAnsi="Calibri"/>
          <w:color w:val="525866"/>
          <w:sz w:val="22"/>
        </w:rPr>
        <w:t xml:space="preserve"> EU issued fines under DMA/antitrust rules. Implication: financially immaterial to Alphabet; could reignite US-EU trade tensions.</w:t>
      </w:r>
    </w:p>
    <w:p>
      <w:pPr>
        <w:pStyle w:val="ListBullet"/>
        <w:ind w:left="360" w:hanging="360"/>
      </w:pPr>
      <w:r>
        <w:rPr>
          <w:rFonts w:ascii="Calibri" w:hAnsi="Calibri"/>
          <w:b/>
          <w:color w:val="525866"/>
          <w:sz w:val="22"/>
        </w:rPr>
        <w:t>Jul 15, 2026 — Google’s Largest Solar Power Purchase:</w:t>
      </w:r>
      <w:r>
        <w:rPr>
          <w:rFonts w:ascii="Calibri" w:hAnsi="Calibri"/>
          <w:color w:val="525866"/>
          <w:sz w:val="22"/>
        </w:rPr>
        <w:t xml:space="preserve"> Google announced its largest-ever solar + battery storage deal (1GW solar, 1.9GWh battery in Arkansas, with Cypress Creek Energy). Implication: supports energy security for data center buildout; aligns with sustainability commitments amid surging power demand from AI infrastructure.</w:t>
      </w:r>
    </w:p>
    <w:p>
      <w:pPr>
        <w:pStyle w:val="ListBullet"/>
        <w:ind w:left="360" w:hanging="360"/>
      </w:pPr>
      <w:r>
        <w:rPr>
          <w:rFonts w:ascii="Calibri" w:hAnsi="Calibri"/>
          <w:b/>
          <w:color w:val="525866"/>
          <w:sz w:val="22"/>
        </w:rPr>
        <w:t>Jul 13, 2026 — BofA Reiterates Buy / $430 PT; Google Traffic Data:</w:t>
      </w:r>
      <w:r>
        <w:rPr>
          <w:rFonts w:ascii="Calibri" w:hAnsi="Calibri"/>
          <w:color w:val="525866"/>
          <w:sz w:val="22"/>
        </w:rPr>
        <w:t xml:space="preserve"> BofA’s Justin Post cited stable global web traffic (+4% YoY in June to 2.8B visits) and strong eCommerce volumes as potential upside to Search estimates. Gemini web traffic quadrupled YoY; daily mobile users +295%. Implication: </w:t>
      </w:r>
      <w:r>
        <w:rPr>
          <w:rFonts w:ascii="Calibri" w:hAnsi="Calibri"/>
          <w:b/>
          <w:color w:val="525866"/>
          <w:sz w:val="22"/>
        </w:rPr>
        <w:t>positive read-through for Search revenue</w:t>
      </w:r>
      <w:r>
        <w:rPr>
          <w:rFonts w:ascii="Calibri" w:hAnsi="Calibri"/>
          <w:color w:val="525866"/>
          <w:sz w:val="22"/>
        </w:rPr>
        <w:t xml:space="preserve"> in Q2.</w:t>
      </w:r>
    </w:p>
    <w:p>
      <w:pPr>
        <w:pStyle w:val="ListBullet"/>
        <w:ind w:left="360" w:hanging="360"/>
      </w:pPr>
      <w:r>
        <w:rPr>
          <w:rFonts w:ascii="Calibri" w:hAnsi="Calibri"/>
          <w:b/>
          <w:color w:val="525866"/>
          <w:sz w:val="22"/>
        </w:rPr>
        <w:t>Jul 9, 2026 — Waymo Expands to 4 More Cities:</w:t>
      </w:r>
      <w:r>
        <w:rPr>
          <w:rFonts w:ascii="Calibri" w:hAnsi="Calibri"/>
          <w:color w:val="525866"/>
          <w:sz w:val="22"/>
        </w:rPr>
        <w:t xml:space="preserve"> Waymo announced fully autonomous operations in San Diego, Las Vegas, Tampa, and Denver. Implication: continued commercialization momentum; Waymo now operating in 15 major US cities.</w:t>
      </w:r>
    </w:p>
    <w:p>
      <w:pPr>
        <w:pStyle w:val="ListBullet"/>
        <w:ind w:left="360" w:hanging="360"/>
      </w:pPr>
      <w:r>
        <w:rPr>
          <w:rFonts w:ascii="Calibri" w:hAnsi="Calibri"/>
          <w:b/>
          <w:color w:val="525866"/>
          <w:sz w:val="22"/>
        </w:rPr>
        <w:t>Jul 7, 2026 — BofA Raises CapEx Estimates:</w:t>
      </w:r>
      <w:r>
        <w:rPr>
          <w:rFonts w:ascii="Calibri" w:hAnsi="Calibri"/>
          <w:color w:val="525866"/>
          <w:sz w:val="22"/>
        </w:rPr>
        <w:t xml:space="preserve"> BofA raised 2026 CapEx estimate to $195B (from $187B) and 2027 to $290B (from $257B), citing rising DRAM spot prices (+40% since last quarter). Implication: </w:t>
      </w:r>
      <w:r>
        <w:rPr>
          <w:rFonts w:ascii="Calibri" w:hAnsi="Calibri"/>
          <w:b/>
          <w:color w:val="525866"/>
          <w:sz w:val="22"/>
        </w:rPr>
        <w:t>CapEx overshoot risk is real</w:t>
      </w:r>
      <w:r>
        <w:rPr>
          <w:rFonts w:ascii="Calibri" w:hAnsi="Calibri"/>
          <w:color w:val="525866"/>
          <w:sz w:val="22"/>
        </w:rPr>
        <w:t>; if Q2 CapEx comes in above the $44.7B consensus, it could pressure FCF and sentiment.</w:t>
      </w:r>
    </w:p>
    <w:p>
      <w:pPr>
        <w:pStyle w:val="ListBullet"/>
        <w:ind w:left="360" w:hanging="360"/>
      </w:pPr>
      <w:r>
        <w:rPr>
          <w:rFonts w:ascii="Calibri" w:hAnsi="Calibri"/>
          <w:b/>
          <w:color w:val="525866"/>
          <w:sz w:val="22"/>
        </w:rPr>
        <w:t>Jun 11, 2026 — Shareholders Approve 200M Share Stock Plan Increase:</w:t>
      </w:r>
      <w:r>
        <w:rPr>
          <w:rFonts w:ascii="Calibri" w:hAnsi="Calibri"/>
          <w:color w:val="525866"/>
          <w:sz w:val="22"/>
        </w:rPr>
        <w:t xml:space="preserve"> Annual meeting approved expanded equity compensation plan; rejected ESG/governance proposals. Implication: dilution risk is modest but worth monitoring given elevated SBC in AI talent hiring.</w:t>
      </w:r>
    </w:p>
    <w:p>
      <w:pPr>
        <w:pStyle w:val="ListBullet"/>
        <w:ind w:left="360" w:hanging="360"/>
      </w:pPr>
      <w:r>
        <w:rPr>
          <w:rFonts w:ascii="Calibri" w:hAnsi="Calibri"/>
          <w:b/>
          <w:color w:val="525866"/>
          <w:sz w:val="22"/>
        </w:rPr>
        <w:t>May 11, 2026 — Alphabet Closes €9B + C$9.5B Dual-Currency Senior Notes Offering:</w:t>
      </w:r>
      <w:r>
        <w:rPr>
          <w:rFonts w:ascii="Calibri" w:hAnsi="Calibri"/>
          <w:color w:val="525866"/>
          <w:sz w:val="22"/>
        </w:rPr>
        <w:t xml:space="preserve"> Alphabet raised ~$20B+ equivalent in euro and Canadian dollar-denominated notes across multiple tranches (3.2%–4.8% coupons, 2030–2063 maturities). Implication: </w:t>
      </w:r>
      <w:r>
        <w:rPr>
          <w:rFonts w:ascii="Calibri" w:hAnsi="Calibri"/>
          <w:b/>
          <w:color w:val="525866"/>
          <w:sz w:val="22"/>
        </w:rPr>
        <w:t>signals continued aggressive CapEx funding via debt</w:t>
      </w:r>
      <w:r>
        <w:rPr>
          <w:rFonts w:ascii="Calibri" w:hAnsi="Calibri"/>
          <w:color w:val="525866"/>
          <w:sz w:val="22"/>
        </w:rPr>
        <w:t>; long-term debt now $77.5B+ as of Q1; interest expense will rise modestly.</w:t>
      </w:r>
    </w:p>
    <w:p>
      <w:r>
        <w:br w:type="page"/>
      </w:r>
    </w:p>
    <w:p>
      <w:pPr>
        <w:pStyle w:val="Heading2"/>
      </w:pPr>
      <w:r>
        <w:rPr>
          <w:rFonts w:ascii="Calibri" w:hAnsi="Calibri"/>
          <w:b/>
          <w:color w:val="3B4259"/>
          <w:sz w:val="28"/>
        </w:rPr>
        <w:t>7. Peer Commentary — Current-Quarter Read-Throughs (May 22 – July 21, 2026)</w:t>
      </w:r>
    </w:p>
    <w:p>
      <w:r>
        <w:rPr>
          <w:rFonts w:ascii="Calibri" w:hAnsi="Calibri"/>
          <w:b/>
          <w:color w:val="525866"/>
          <w:sz w:val="22"/>
        </w:rPr>
        <w:t xml:space="preserve">Key Takeaway: </w:t>
      </w:r>
      <w:r>
        <w:rPr>
          <w:rFonts w:ascii="Calibri" w:hAnsi="Calibri"/>
          <w:color w:val="525866"/>
          <w:sz w:val="22"/>
        </w:rPr>
        <w:t>Peer commentary from the current June quarter is broadly constructive for GOOGL — surging AI infrastructure demand (AWS capacity constraints, Meta’s $50B+ data center expansion) validates Google Cloud’s growth thesis, while Meta’s admission that AI agent development is progressing slower than expected is a mild caution on near-term AI monetization timelines.</w:t>
      </w:r>
    </w:p>
    <w:p>
      <w:r>
        <w:rPr>
          <w:rFonts w:ascii="Calibri" w:hAnsi="Calibri"/>
          <w:b/>
          <w:color w:val="525866"/>
          <w:sz w:val="22"/>
        </w:rPr>
        <w:t xml:space="preserve">Note: </w:t>
      </w:r>
      <w:r>
        <w:rPr>
          <w:rFonts w:ascii="Calibri" w:hAnsi="Calibri"/>
          <w:i/>
          <w:color w:val="525866"/>
          <w:sz w:val="22"/>
        </w:rPr>
        <w:t>All commentary below was disclosed between May 22 and July 21, 2026, and pertains to current June-quarter conditions or ongoing demand. Prior-quarter earnings commentary (i.e., peers discussing their own Q1 2026 results) is explicitly excluded.</w:t>
      </w:r>
    </w:p>
    <w:p>
      <w:pPr>
        <w:pStyle w:val="Heading3"/>
      </w:pPr>
      <w:r>
        <w:rPr>
          <w:rFonts w:ascii="Calibri" w:hAnsi="Calibri"/>
          <w:b/>
          <w:color w:val="3B4259"/>
          <w:sz w:val="24"/>
        </w:rPr>
        <w:t>AWS / Cloud Demand — Positive Read-Through for Google Cloud</w:t>
      </w:r>
    </w:p>
    <w:p>
      <w:r>
        <w:rPr>
          <w:rFonts w:ascii="Calibri" w:hAnsi="Calibri"/>
          <w:b/>
          <w:color w:val="525866"/>
          <w:sz w:val="22"/>
        </w:rPr>
        <w:t>Source: The Information, July 14, 2026 — “More Startups Try New Cloud Companies as AWS Faces Heavy Demand”</w:t>
      </w:r>
    </w:p>
    <w:p>
      <w:r>
        <w:rPr>
          <w:rFonts w:ascii="Calibri" w:hAnsi="Calibri"/>
          <w:color w:val="525866"/>
          <w:sz w:val="22"/>
        </w:rPr>
        <w:t xml:space="preserve">AWS is experiencing significant demand constraints in the current quarter, prompting startups to explore alternative cloud providers. This is a </w:t>
      </w:r>
      <w:r>
        <w:rPr>
          <w:rFonts w:ascii="Calibri" w:hAnsi="Calibri"/>
          <w:b/>
          <w:color w:val="525866"/>
          <w:sz w:val="22"/>
        </w:rPr>
        <w:t>direct positive read-through for Google Cloud</w:t>
      </w:r>
      <w:r>
        <w:rPr>
          <w:rFonts w:ascii="Calibri" w:hAnsi="Calibri"/>
          <w:color w:val="525866"/>
          <w:sz w:val="22"/>
        </w:rPr>
        <w:t>: as the #2 hyperscaler, Google Cloud is the natural beneficiary when AWS capacity is constrained. The commentary aligns with Alphabet’s own Q1 disclosure that Cloud revenue “would have been higher if we were able to meet the demand” — suggesting the supply constraint is industry-wide, not Google-specific. For Q2, this supports the thesis that Cloud demand remains robust and that any sequential acceleration in Google Cloud revenue is demand-driven, not share-gain-driven.</w:t>
      </w:r>
    </w:p>
    <w:p>
      <w:r>
        <w:rPr>
          <w:rFonts w:ascii="Calibri" w:hAnsi="Calibri"/>
          <w:b/>
          <w:color w:val="525866"/>
          <w:sz w:val="22"/>
        </w:rPr>
        <w:t xml:space="preserve">Implication for GOOGL Q2: </w:t>
      </w:r>
      <w:r>
        <w:rPr>
          <w:rFonts w:ascii="Calibri" w:hAnsi="Calibri"/>
          <w:color w:val="525866"/>
          <w:sz w:val="22"/>
        </w:rPr>
        <w:t>Positive for Cloud revenue; validates the $462B backlog and the CapEx investment thesis. If Google has added incremental compute capacity in Q2, it may be able to convert more of the constrained demand into recognized revenue.</w:t>
      </w:r>
    </w:p>
    <w:p>
      <w:pPr>
        <w:pStyle w:val="Heading3"/>
      </w:pPr>
      <w:r>
        <w:rPr>
          <w:rFonts w:ascii="Calibri" w:hAnsi="Calibri"/>
          <w:b/>
          <w:color w:val="3B4259"/>
          <w:sz w:val="24"/>
        </w:rPr>
        <w:t>Meta — AI Agent Development Slower Than Expected; CapEx Surging</w:t>
      </w:r>
    </w:p>
    <w:p>
      <w:r>
        <w:rPr>
          <w:rFonts w:ascii="Calibri" w:hAnsi="Calibri"/>
          <w:b/>
          <w:color w:val="525866"/>
          <w:sz w:val="22"/>
        </w:rPr>
        <w:t>Source: Reuters (exclusive), July 2, 2026 — Mark Zuckerberg internal town hall</w:t>
      </w:r>
    </w:p>
    <w:p>
      <w:r>
        <w:rPr>
          <w:rFonts w:ascii="Calibri" w:hAnsi="Calibri"/>
          <w:color w:val="525866"/>
          <w:sz w:val="22"/>
        </w:rPr>
        <w:t>Meta CEO Mark Zuckerberg stated in an internal town hall (recording heard by Reuters) that “AI agent development over the last four months had not ‘accelerated in the way we expected.’” He added that the company’s reorganization “haven’t come to fruition yet” and that he expects “more significant benefits from its AI investments within the next three to six months.” Meta is projected to spend up to $145B on AI infrastructure in 2026, part of Big Tech’s $700B+ collective outlay.</w:t>
      </w:r>
    </w:p>
    <w:p>
      <w:r>
        <w:rPr>
          <w:rFonts w:ascii="Calibri" w:hAnsi="Calibri"/>
          <w:b/>
          <w:color w:val="525866"/>
          <w:sz w:val="22"/>
        </w:rPr>
        <w:t>Read-Through for GOOGL:</w:t>
      </w:r>
    </w:p>
    <w:p>
      <w:pPr>
        <w:pStyle w:val="ListBullet"/>
        <w:ind w:left="360" w:hanging="360"/>
      </w:pPr>
      <w:r>
        <w:rPr>
          <w:rFonts w:ascii="Calibri" w:hAnsi="Calibri"/>
          <w:b/>
          <w:color w:val="525866"/>
          <w:sz w:val="22"/>
        </w:rPr>
        <w:t xml:space="preserve">Google Cloud (Mixed): </w:t>
      </w:r>
      <w:r>
        <w:rPr>
          <w:rFonts w:ascii="Calibri" w:hAnsi="Calibri"/>
          <w:color w:val="525866"/>
          <w:sz w:val="22"/>
        </w:rPr>
        <w:t>Slower AI agent development at Meta could imply a more gradual enterprise adoption curve for sophisticated AI services broadly. However, the massive industry-wide CapEx commitment ($700B+) confirms robust infrastructure demand — Google Cloud, as a compute/TPU provider, benefits regardless of whether specific AI agent applications are monetizing on schedule.</w:t>
      </w:r>
    </w:p>
    <w:p>
      <w:pPr>
        <w:pStyle w:val="ListBullet"/>
        <w:ind w:left="360" w:hanging="360"/>
      </w:pPr>
      <w:r>
        <w:rPr>
          <w:rFonts w:ascii="Calibri" w:hAnsi="Calibri"/>
          <w:b/>
          <w:color w:val="525866"/>
          <w:sz w:val="22"/>
        </w:rPr>
        <w:t xml:space="preserve">Search/Ads (Neutral-to-Cautious): </w:t>
      </w:r>
      <w:r>
        <w:rPr>
          <w:rFonts w:ascii="Calibri" w:hAnsi="Calibri"/>
          <w:color w:val="525866"/>
          <w:sz w:val="22"/>
        </w:rPr>
        <w:t>If AI monetization beyond digital advertising is proving harder than expected even for Meta, it suggests Google’s core ad revenue remains the primary monetization engine for the foreseeable future — which is actually reassuring for Search stability, but tempers expectations for rapid AI Mode/agentic commerce revenue contribution in Q2.</w:t>
      </w:r>
    </w:p>
    <w:p>
      <w:pPr>
        <w:pStyle w:val="ListBullet"/>
        <w:ind w:left="360" w:hanging="360"/>
      </w:pPr>
      <w:r>
        <w:rPr>
          <w:rFonts w:ascii="Calibri" w:hAnsi="Calibri"/>
          <w:b/>
          <w:color w:val="525866"/>
          <w:sz w:val="22"/>
        </w:rPr>
        <w:t xml:space="preserve">Margins (Cautious): </w:t>
      </w:r>
      <w:r>
        <w:rPr>
          <w:rFonts w:ascii="Calibri" w:hAnsi="Calibri"/>
          <w:color w:val="525866"/>
          <w:sz w:val="22"/>
        </w:rPr>
        <w:t>The $700B+ industry CapEx commitment confirms that depreciation and infrastructure costs will remain elevated across Big Tech. For GOOGL, this reinforces the guided depreciation headwind and the FY2026 operating EPS compression already priced into consensus.</w:t>
      </w:r>
    </w:p>
    <w:p>
      <w:pPr>
        <w:pStyle w:val="Heading3"/>
      </w:pPr>
      <w:r>
        <w:rPr>
          <w:rFonts w:ascii="Calibri" w:hAnsi="Calibri"/>
          <w:b/>
          <w:color w:val="3B4259"/>
          <w:sz w:val="24"/>
        </w:rPr>
        <w:t>Meta — $50B+ Data Center Expansion; J.P. Morgan Caution on AI Monetization</w:t>
      </w:r>
    </w:p>
    <w:p>
      <w:r>
        <w:rPr>
          <w:rFonts w:ascii="Calibri" w:hAnsi="Calibri"/>
          <w:b/>
          <w:color w:val="525866"/>
          <w:sz w:val="22"/>
        </w:rPr>
        <w:t>Source: Barron’s, July 13, 2026 — Meta AI data center expansion; J.P. Morgan analyst Doug Anmuth note</w:t>
      </w:r>
    </w:p>
    <w:p>
      <w:r>
        <w:rPr>
          <w:rFonts w:ascii="Calibri" w:hAnsi="Calibri"/>
          <w:color w:val="525866"/>
          <w:sz w:val="22"/>
        </w:rPr>
        <w:t>Meta announced it is expanding its Louisiana data center project to 5 gigawatts of compute capacity at a cost of “more than $50 billion” (up from $27B), and aims to double total computing capacity to 14 gigawatts in 2027 (implying ~$266B in CapEx). J.P. Morgan’s Doug Anmuth reiterated a Neutral on Meta, citing “lack of evidence for wider adoption of its AI models” and noting that “much will depend on traction of Muse Spark 1.1 &amp; the subsequent Watermelon, and whether Meta gains trust from developers &amp; enterprises.” The broader market theme: “Big Tech Is Pouring Billions Into AI, and the Stock Market Wants to See the Payoff—Now.”</w:t>
      </w:r>
    </w:p>
    <w:p>
      <w:r>
        <w:rPr>
          <w:rFonts w:ascii="Calibri" w:hAnsi="Calibri"/>
          <w:b/>
          <w:color w:val="525866"/>
          <w:sz w:val="22"/>
        </w:rPr>
        <w:t>Read-Through for GOOGL:</w:t>
      </w:r>
    </w:p>
    <w:p>
      <w:pPr>
        <w:pStyle w:val="ListBullet"/>
        <w:ind w:left="360" w:hanging="360"/>
      </w:pPr>
      <w:r>
        <w:rPr>
          <w:rFonts w:ascii="Calibri" w:hAnsi="Calibri"/>
          <w:b/>
          <w:color w:val="525866"/>
          <w:sz w:val="22"/>
        </w:rPr>
        <w:t xml:space="preserve">Google Cloud (Positive): </w:t>
      </w:r>
      <w:r>
        <w:rPr>
          <w:rFonts w:ascii="Calibri" w:hAnsi="Calibri"/>
          <w:color w:val="525866"/>
          <w:sz w:val="22"/>
        </w:rPr>
        <w:t>Meta’s massive infrastructure expansion confirms the AI compute arms race is intensifying. Google Cloud, as a provider of compute to third parties (and now TPU hardware sales), benefits from this demand environment. The energy and infrastructure costs Meta is absorbing (funding 7 new natural gas plants) also highlight Google’s advantage in having secured large-scale renewable energy deals.</w:t>
      </w:r>
    </w:p>
    <w:p>
      <w:pPr>
        <w:pStyle w:val="ListBullet"/>
        <w:ind w:left="360" w:hanging="360"/>
      </w:pPr>
      <w:r>
        <w:rPr>
          <w:rFonts w:ascii="Calibri" w:hAnsi="Calibri"/>
          <w:b/>
          <w:color w:val="525866"/>
          <w:sz w:val="22"/>
        </w:rPr>
        <w:t xml:space="preserve">AI Monetization (Cautious): </w:t>
      </w:r>
      <w:r>
        <w:rPr>
          <w:rFonts w:ascii="Calibri" w:hAnsi="Calibri"/>
          <w:color w:val="525866"/>
          <w:sz w:val="22"/>
        </w:rPr>
        <w:t>J.P. Morgan’s skepticism about Meta’s AI monetization beyond digital advertising is a read-through caution for Google’s AI Mode and agentic commerce revenue contribution in Q2. The market is demanding proof of monetization, not just infrastructure investment — Google will need to show commercial query growth and AI Mode ad revenue traction on the call.</w:t>
      </w:r>
    </w:p>
    <w:p>
      <w:pPr>
        <w:pStyle w:val="ListBullet"/>
        <w:ind w:left="360" w:hanging="360"/>
      </w:pPr>
      <w:r>
        <w:rPr>
          <w:rFonts w:ascii="Calibri" w:hAnsi="Calibri"/>
          <w:b/>
          <w:color w:val="525866"/>
          <w:sz w:val="22"/>
        </w:rPr>
        <w:t xml:space="preserve">CapEx Narrative (Neutral): </w:t>
      </w:r>
      <w:r>
        <w:rPr>
          <w:rFonts w:ascii="Calibri" w:hAnsi="Calibri"/>
          <w:color w:val="525866"/>
          <w:sz w:val="22"/>
        </w:rPr>
        <w:t>Meta’s willingness to escalate CapEx to $50B+ for a single data center normalizes Google’s $180–190B FY2026 guidance and reduces the risk that the market views Google’s spending as uniquely aggressive.</w:t>
      </w:r>
    </w:p>
    <w:p>
      <w:pPr>
        <w:pStyle w:val="Heading3"/>
      </w:pPr>
      <w:r>
        <w:rPr>
          <w:rFonts w:ascii="Calibri" w:hAnsi="Calibri"/>
          <w:b/>
          <w:color w:val="3B4259"/>
          <w:sz w:val="24"/>
        </w:rPr>
        <w:t>Meta Cloud Entry — Competitive Dynamics for Google Cloud</w:t>
      </w:r>
    </w:p>
    <w:p>
      <w:r>
        <w:rPr>
          <w:rFonts w:ascii="Calibri" w:hAnsi="Calibri"/>
          <w:b/>
          <w:color w:val="525866"/>
          <w:sz w:val="22"/>
        </w:rPr>
        <w:t>Source: CNBC, July 2, 2026 — “Meta’s Push Into Cloud Computing Means Wall Street Has to Prepare for Lower Margins”</w:t>
      </w:r>
    </w:p>
    <w:p>
      <w:r>
        <w:rPr>
          <w:rFonts w:ascii="Calibri" w:hAnsi="Calibri"/>
          <w:color w:val="525866"/>
          <w:sz w:val="22"/>
        </w:rPr>
        <w:t>Meta is reportedly launching a cloud business to sell excess AI computing power and offer API access to its AI models, directly challenging AWS, Azure, and Google Cloud. The article notes that Google Cloud is one of the “U.S. leaders” in cloud infrastructure and that Google’s services business (primarily ads) achieved a 42% operating margin in Q1 vs. Cloud’s 18% (note: this references Q1 2026 Google Services margin, not Cloud’s 32.9% — the article appears to use an older or blended figure). Separately, SpaceX (IPO June 12, 2026) has signed deals to offer compute capacity to Google and Anthropic amounting to “more than $2 billion in combined revenue a month.”</w:t>
      </w:r>
    </w:p>
    <w:p>
      <w:r>
        <w:rPr>
          <w:rFonts w:ascii="Calibri" w:hAnsi="Calibri"/>
          <w:b/>
          <w:color w:val="525866"/>
          <w:sz w:val="22"/>
        </w:rPr>
        <w:t>Read-Through for GOOGL:</w:t>
      </w:r>
    </w:p>
    <w:p>
      <w:pPr>
        <w:pStyle w:val="ListBullet"/>
        <w:ind w:left="360" w:hanging="360"/>
      </w:pPr>
      <w:r>
        <w:rPr>
          <w:rFonts w:ascii="Calibri" w:hAnsi="Calibri"/>
          <w:b/>
          <w:color w:val="525866"/>
          <w:sz w:val="22"/>
        </w:rPr>
        <w:t xml:space="preserve">Google Cloud (Mixed): </w:t>
      </w:r>
      <w:r>
        <w:rPr>
          <w:rFonts w:ascii="Calibri" w:hAnsi="Calibri"/>
          <w:color w:val="525866"/>
          <w:sz w:val="22"/>
        </w:rPr>
        <w:t>Meta’s cloud entry is a long-term competitive risk, but near-term it is nascent and unproven. More immediately, the SpaceX compute deal confirms Google is actively procuring external compute capacity — a signal that internal infrastructure is insufficient to meet demand, which is bullish for Q2 Cloud revenue if that capacity is being utilized.</w:t>
      </w:r>
    </w:p>
    <w:p>
      <w:pPr>
        <w:pStyle w:val="ListBullet"/>
        <w:ind w:left="360" w:hanging="360"/>
      </w:pPr>
      <w:r>
        <w:rPr>
          <w:rFonts w:ascii="Calibri" w:hAnsi="Calibri"/>
          <w:b/>
          <w:color w:val="525866"/>
          <w:sz w:val="22"/>
        </w:rPr>
        <w:t xml:space="preserve">Margins (Cautious): </w:t>
      </w:r>
      <w:r>
        <w:rPr>
          <w:rFonts w:ascii="Calibri" w:hAnsi="Calibri"/>
          <w:color w:val="525866"/>
          <w:sz w:val="22"/>
        </w:rPr>
        <w:t>Analysts note that entering cloud is “dilutive” to margins for companies whose core business is high-margin advertising. For Google, the continued mix shift toward Cloud (lower margin than Services) is a known, ongoing headwind — but Cloud’s 32.9% margin in Q1 is already well above the 18% figure cited in the article, suggesting the market may be underestimating Cloud’s profitability trajectory.</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Source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Commentary (Current Quarter)</w:t>
            </w:r>
          </w:p>
        </w:tc>
        <w:tc>
          <w:tcPr>
            <w:tcW w:type="dxa" w:w="1728"/>
            <w:shd w:val="clear" w:color="auto" w:fill="3B4259"/>
          </w:tcPr>
          <w:p>
            <w:r>
              <w:rPr>
                <w:rFonts w:ascii="Calibri" w:hAnsi="Calibri"/>
                <w:b/>
                <w:color w:val="FFFFFF"/>
                <w:sz w:val="22"/>
              </w:rPr>
              <w:t>GOOGL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AWS (The Information)</w:t>
            </w:r>
          </w:p>
        </w:tc>
        <w:tc>
          <w:tcPr>
            <w:tcW w:type="dxa" w:w="1728"/>
          </w:tcPr>
          <w:p>
            <w:r>
              <w:rPr>
                <w:rFonts w:ascii="Calibri" w:hAnsi="Calibri"/>
                <w:sz w:val="22"/>
              </w:rPr>
              <w:t>Jul 14, 2026</w:t>
            </w:r>
          </w:p>
        </w:tc>
        <w:tc>
          <w:tcPr>
            <w:tcW w:type="dxa" w:w="1728"/>
          </w:tcPr>
          <w:p>
            <w:r>
              <w:rPr>
                <w:rFonts w:ascii="Calibri" w:hAnsi="Calibri"/>
                <w:sz w:val="22"/>
              </w:rPr>
              <w:t>AWS facing heavy demand; startups exploring alternative cloud providers</w:t>
            </w:r>
          </w:p>
        </w:tc>
        <w:tc>
          <w:tcPr>
            <w:tcW w:type="dxa" w:w="1728"/>
          </w:tcPr>
          <w:p>
            <w:r>
              <w:rPr>
                <w:rFonts w:ascii="Calibri" w:hAnsi="Calibri"/>
                <w:sz w:val="22"/>
              </w:rPr>
              <w:t>Google Cloud demand validation; potential share gain from capacity-constrained AWS</w:t>
            </w:r>
          </w:p>
        </w:tc>
        <w:tc>
          <w:tcPr>
            <w:tcW w:type="dxa" w:w="1728"/>
          </w:tcPr>
          <w:p>
            <w:r>
              <w:rPr>
                <w:rFonts w:ascii="Calibri" w:hAnsi="Calibri"/>
                <w:b/>
                <w:color w:val="30A46C"/>
                <w:sz w:val="22"/>
              </w:rPr>
              <w:t>Positive</w:t>
            </w:r>
          </w:p>
        </w:tc>
      </w:tr>
      <w:tr>
        <w:tc>
          <w:tcPr>
            <w:tcW w:type="dxa" w:w="1728"/>
          </w:tcPr>
          <w:p>
            <w:r>
              <w:rPr>
                <w:rFonts w:ascii="Calibri" w:hAnsi="Calibri"/>
                <w:sz w:val="22"/>
              </w:rPr>
              <w:t>Meta / Zuckerberg (Reuters)</w:t>
            </w:r>
          </w:p>
        </w:tc>
        <w:tc>
          <w:tcPr>
            <w:tcW w:type="dxa" w:w="1728"/>
          </w:tcPr>
          <w:p>
            <w:r>
              <w:rPr>
                <w:rFonts w:ascii="Calibri" w:hAnsi="Calibri"/>
                <w:sz w:val="22"/>
              </w:rPr>
              <w:t>Jul 2, 2026</w:t>
            </w:r>
          </w:p>
        </w:tc>
        <w:tc>
          <w:tcPr>
            <w:tcW w:type="dxa" w:w="1728"/>
          </w:tcPr>
          <w:p>
            <w:r>
              <w:rPr>
                <w:rFonts w:ascii="Calibri" w:hAnsi="Calibri"/>
                <w:sz w:val="22"/>
              </w:rPr>
              <w:t>AI agent development slower than expected over last 4 months; $145B AI CapEx in 2026; benefits expected in 3–6 months</w:t>
            </w:r>
          </w:p>
        </w:tc>
        <w:tc>
          <w:tcPr>
            <w:tcW w:type="dxa" w:w="1728"/>
          </w:tcPr>
          <w:p>
            <w:r>
              <w:rPr>
                <w:rFonts w:ascii="Calibri" w:hAnsi="Calibri"/>
                <w:sz w:val="22"/>
              </w:rPr>
              <w:t>Caution on near-term AI monetization; confirms massive industry CapEx demand (positive for Cloud infrastructure)</w:t>
            </w:r>
          </w:p>
        </w:tc>
        <w:tc>
          <w:tcPr>
            <w:tcW w:type="dxa" w:w="1728"/>
          </w:tcPr>
          <w:p>
            <w:r>
              <w:rPr>
                <w:rFonts w:ascii="Calibri" w:hAnsi="Calibri"/>
                <w:sz w:val="22"/>
              </w:rPr>
              <w:t>Mixed</w:t>
            </w:r>
          </w:p>
        </w:tc>
      </w:tr>
      <w:tr>
        <w:tc>
          <w:tcPr>
            <w:tcW w:type="dxa" w:w="1728"/>
          </w:tcPr>
          <w:p>
            <w:r>
              <w:rPr>
                <w:rFonts w:ascii="Calibri" w:hAnsi="Calibri"/>
                <w:sz w:val="22"/>
              </w:rPr>
              <w:t>Meta / J.P. Morgan (Barron’s)</w:t>
            </w:r>
          </w:p>
        </w:tc>
        <w:tc>
          <w:tcPr>
            <w:tcW w:type="dxa" w:w="1728"/>
          </w:tcPr>
          <w:p>
            <w:r>
              <w:rPr>
                <w:rFonts w:ascii="Calibri" w:hAnsi="Calibri"/>
                <w:sz w:val="22"/>
              </w:rPr>
              <w:t>Jul 13, 2026</w:t>
            </w:r>
          </w:p>
        </w:tc>
        <w:tc>
          <w:tcPr>
            <w:tcW w:type="dxa" w:w="1728"/>
          </w:tcPr>
          <w:p>
            <w:r>
              <w:rPr>
                <w:rFonts w:ascii="Calibri" w:hAnsi="Calibri"/>
                <w:sz w:val="22"/>
              </w:rPr>
              <w:t>$50B+ Louisiana data center expansion; 14GW capacity target for 2027; JPM cites lack of evidence for wider AI model adoption</w:t>
            </w:r>
          </w:p>
        </w:tc>
        <w:tc>
          <w:tcPr>
            <w:tcW w:type="dxa" w:w="1728"/>
          </w:tcPr>
          <w:p>
            <w:r>
              <w:rPr>
                <w:rFonts w:ascii="Calibri" w:hAnsi="Calibri"/>
                <w:sz w:val="22"/>
              </w:rPr>
              <w:t>Normalizes Google’s CapEx; market demanding AI monetization proof — Google must show commercial query/AI Mode traction</w:t>
            </w:r>
          </w:p>
        </w:tc>
        <w:tc>
          <w:tcPr>
            <w:tcW w:type="dxa" w:w="1728"/>
          </w:tcPr>
          <w:p>
            <w:r>
              <w:rPr>
                <w:rFonts w:ascii="Calibri" w:hAnsi="Calibri"/>
                <w:sz w:val="22"/>
              </w:rPr>
              <w:t>Mixed</w:t>
            </w:r>
          </w:p>
        </w:tc>
      </w:tr>
      <w:tr>
        <w:tc>
          <w:tcPr>
            <w:tcW w:type="dxa" w:w="1728"/>
          </w:tcPr>
          <w:p>
            <w:r>
              <w:rPr>
                <w:rFonts w:ascii="Calibri" w:hAnsi="Calibri"/>
                <w:sz w:val="22"/>
              </w:rPr>
              <w:t>Meta Cloud Entry / SpaceX (CNBC)</w:t>
            </w:r>
          </w:p>
        </w:tc>
        <w:tc>
          <w:tcPr>
            <w:tcW w:type="dxa" w:w="1728"/>
          </w:tcPr>
          <w:p>
            <w:r>
              <w:rPr>
                <w:rFonts w:ascii="Calibri" w:hAnsi="Calibri"/>
                <w:sz w:val="22"/>
              </w:rPr>
              <w:t>Jul 2, 2026</w:t>
            </w:r>
          </w:p>
        </w:tc>
        <w:tc>
          <w:tcPr>
            <w:tcW w:type="dxa" w:w="1728"/>
          </w:tcPr>
          <w:p>
            <w:r>
              <w:rPr>
                <w:rFonts w:ascii="Calibri" w:hAnsi="Calibri"/>
                <w:sz w:val="22"/>
              </w:rPr>
              <w:t>Meta launching cloud business; SpaceX signed $2B+/month compute deals with Google &amp; Anthropic</w:t>
            </w:r>
          </w:p>
        </w:tc>
        <w:tc>
          <w:tcPr>
            <w:tcW w:type="dxa" w:w="1728"/>
          </w:tcPr>
          <w:p>
            <w:r>
              <w:rPr>
                <w:rFonts w:ascii="Calibri" w:hAnsi="Calibri"/>
                <w:sz w:val="22"/>
              </w:rPr>
              <w:t>Google procuring external compute confirms demand exceeds internal supply — bullish for Q2 Cloud revenue; Meta cloud is long-term risk</w:t>
            </w:r>
          </w:p>
        </w:tc>
        <w:tc>
          <w:tcPr>
            <w:tcW w:type="dxa" w:w="1728"/>
          </w:tcPr>
          <w:p>
            <w:r>
              <w:rPr>
                <w:rFonts w:ascii="Calibri" w:hAnsi="Calibri"/>
                <w:sz w:val="22"/>
              </w:rPr>
              <w:t>Mixed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from named insiders; all sales are 10b5-1 plan-driven (pre-scheduled) and routine in size — nothing signals unusual conviction or concern. The Lawrence Page Trust Form 144 filings (~$91M in intended sales) are the largest disclosed transactions but are pre-planned and consistent with historical patterns.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Lawrence Page Trust</w:t>
            </w:r>
          </w:p>
        </w:tc>
        <w:tc>
          <w:tcPr>
            <w:tcW w:type="dxa" w:w="1440"/>
          </w:tcPr>
          <w:p>
            <w:r>
              <w:rPr>
                <w:rFonts w:ascii="Calibri" w:hAnsi="Calibri"/>
                <w:sz w:val="22"/>
              </w:rPr>
              <w:t>Co-Founder (Larry Page)</w:t>
            </w:r>
          </w:p>
        </w:tc>
        <w:tc>
          <w:tcPr>
            <w:tcW w:type="dxa" w:w="1440"/>
          </w:tcPr>
          <w:p>
            <w:r>
              <w:rPr>
                <w:rFonts w:ascii="Calibri" w:hAnsi="Calibri"/>
                <w:sz w:val="22"/>
              </w:rPr>
              <w:t>Form 144 — Intended Sale</w:t>
            </w:r>
          </w:p>
        </w:tc>
        <w:tc>
          <w:tcPr>
            <w:tcW w:type="dxa" w:w="1440"/>
          </w:tcPr>
          <w:p>
            <w:r>
              <w:rPr>
                <w:rFonts w:ascii="Calibri" w:hAnsi="Calibri"/>
                <w:sz w:val="22"/>
              </w:rPr>
              <w:t>~$81.6M</w:t>
            </w:r>
          </w:p>
        </w:tc>
        <w:tc>
          <w:tcPr>
            <w:tcW w:type="dxa" w:w="1440"/>
          </w:tcPr>
          <w:p>
            <w:r>
              <w:rPr>
                <w:rFonts w:ascii="Calibri" w:hAnsi="Calibri"/>
                <w:sz w:val="22"/>
              </w:rPr>
              <w:t>Jul 9, 2026</w:t>
            </w:r>
          </w:p>
        </w:tc>
        <w:tc>
          <w:tcPr>
            <w:tcW w:type="dxa" w:w="1440"/>
          </w:tcPr>
          <w:p>
            <w:r>
              <w:rPr>
                <w:rFonts w:ascii="Calibri" w:hAnsi="Calibri"/>
                <w:sz w:val="22"/>
              </w:rPr>
              <w:t>Pre-planned; Form 144 notice of intended sale; routine founder estate planning</w:t>
            </w:r>
          </w:p>
        </w:tc>
      </w:tr>
      <w:tr>
        <w:tc>
          <w:tcPr>
            <w:tcW w:type="dxa" w:w="1440"/>
          </w:tcPr>
          <w:p>
            <w:r>
              <w:rPr>
                <w:rFonts w:ascii="Calibri" w:hAnsi="Calibri"/>
                <w:sz w:val="22"/>
              </w:rPr>
              <w:t>Lawrence Page Trust III</w:t>
            </w:r>
          </w:p>
        </w:tc>
        <w:tc>
          <w:tcPr>
            <w:tcW w:type="dxa" w:w="1440"/>
          </w:tcPr>
          <w:p>
            <w:r>
              <w:rPr>
                <w:rFonts w:ascii="Calibri" w:hAnsi="Calibri"/>
                <w:sz w:val="22"/>
              </w:rPr>
              <w:t>Co-Founder (Larry Page)</w:t>
            </w:r>
          </w:p>
        </w:tc>
        <w:tc>
          <w:tcPr>
            <w:tcW w:type="dxa" w:w="1440"/>
          </w:tcPr>
          <w:p>
            <w:r>
              <w:rPr>
                <w:rFonts w:ascii="Calibri" w:hAnsi="Calibri"/>
                <w:sz w:val="22"/>
              </w:rPr>
              <w:t>Form 144 — Intended Sale</w:t>
            </w:r>
          </w:p>
        </w:tc>
        <w:tc>
          <w:tcPr>
            <w:tcW w:type="dxa" w:w="1440"/>
          </w:tcPr>
          <w:p>
            <w:r>
              <w:rPr>
                <w:rFonts w:ascii="Calibri" w:hAnsi="Calibri"/>
                <w:sz w:val="22"/>
              </w:rPr>
              <w:t>~$6.1M</w:t>
            </w:r>
          </w:p>
        </w:tc>
        <w:tc>
          <w:tcPr>
            <w:tcW w:type="dxa" w:w="1440"/>
          </w:tcPr>
          <w:p>
            <w:r>
              <w:rPr>
                <w:rFonts w:ascii="Calibri" w:hAnsi="Calibri"/>
                <w:sz w:val="22"/>
              </w:rPr>
              <w:t>Jul 9, 2026</w:t>
            </w:r>
          </w:p>
        </w:tc>
        <w:tc>
          <w:tcPr>
            <w:tcW w:type="dxa" w:w="1440"/>
          </w:tcPr>
          <w:p>
            <w:r>
              <w:rPr>
                <w:rFonts w:ascii="Calibri" w:hAnsi="Calibri"/>
                <w:sz w:val="22"/>
              </w:rPr>
              <w:t>Pre-planned; Form 144 notice; part of coordinated trust sales</w:t>
            </w:r>
          </w:p>
        </w:tc>
      </w:tr>
      <w:tr>
        <w:tc>
          <w:tcPr>
            <w:tcW w:type="dxa" w:w="1440"/>
          </w:tcPr>
          <w:p>
            <w:r>
              <w:rPr>
                <w:rFonts w:ascii="Calibri" w:hAnsi="Calibri"/>
                <w:sz w:val="22"/>
              </w:rPr>
              <w:t>Lawrence Page Trust II</w:t>
            </w:r>
          </w:p>
        </w:tc>
        <w:tc>
          <w:tcPr>
            <w:tcW w:type="dxa" w:w="1440"/>
          </w:tcPr>
          <w:p>
            <w:r>
              <w:rPr>
                <w:rFonts w:ascii="Calibri" w:hAnsi="Calibri"/>
                <w:sz w:val="22"/>
              </w:rPr>
              <w:t>Co-Founder (Larry Page)</w:t>
            </w:r>
          </w:p>
        </w:tc>
        <w:tc>
          <w:tcPr>
            <w:tcW w:type="dxa" w:w="1440"/>
          </w:tcPr>
          <w:p>
            <w:r>
              <w:rPr>
                <w:rFonts w:ascii="Calibri" w:hAnsi="Calibri"/>
                <w:sz w:val="22"/>
              </w:rPr>
              <w:t>Form 144 — Intended Sale</w:t>
            </w:r>
          </w:p>
        </w:tc>
        <w:tc>
          <w:tcPr>
            <w:tcW w:type="dxa" w:w="1440"/>
          </w:tcPr>
          <w:p>
            <w:r>
              <w:rPr>
                <w:rFonts w:ascii="Calibri" w:hAnsi="Calibri"/>
                <w:sz w:val="22"/>
              </w:rPr>
              <w:t>~$3.5M</w:t>
            </w:r>
          </w:p>
        </w:tc>
        <w:tc>
          <w:tcPr>
            <w:tcW w:type="dxa" w:w="1440"/>
          </w:tcPr>
          <w:p>
            <w:r>
              <w:rPr>
                <w:rFonts w:ascii="Calibri" w:hAnsi="Calibri"/>
                <w:sz w:val="22"/>
              </w:rPr>
              <w:t>Jul 9, 2026</w:t>
            </w:r>
          </w:p>
        </w:tc>
        <w:tc>
          <w:tcPr>
            <w:tcW w:type="dxa" w:w="1440"/>
          </w:tcPr>
          <w:p>
            <w:r>
              <w:rPr>
                <w:rFonts w:ascii="Calibri" w:hAnsi="Calibri"/>
                <w:sz w:val="22"/>
              </w:rPr>
              <w:t>Pre-planned; Form 144 notice; part of coordinated trust sales</w:t>
            </w:r>
          </w:p>
        </w:tc>
      </w:tr>
      <w:tr>
        <w:tc>
          <w:tcPr>
            <w:tcW w:type="dxa" w:w="1440"/>
          </w:tcPr>
          <w:p>
            <w:r>
              <w:rPr>
                <w:rFonts w:ascii="Calibri" w:hAnsi="Calibri"/>
                <w:sz w:val="22"/>
              </w:rPr>
              <w:t>Ethos Technologies Inc. (Issuer)</w:t>
            </w:r>
          </w:p>
        </w:tc>
        <w:tc>
          <w:tcPr>
            <w:tcW w:type="dxa" w:w="1440"/>
          </w:tcPr>
          <w:p>
            <w:r>
              <w:rPr>
                <w:rFonts w:ascii="Calibri" w:hAnsi="Calibri"/>
                <w:sz w:val="22"/>
              </w:rPr>
              <w:t>10% Owner (via Alphabet Holdings LLC)</w:t>
            </w:r>
          </w:p>
        </w:tc>
        <w:tc>
          <w:tcPr>
            <w:tcW w:type="dxa" w:w="1440"/>
          </w:tcPr>
          <w:p>
            <w:r>
              <w:rPr>
                <w:rFonts w:ascii="Calibri" w:hAnsi="Calibri"/>
                <w:sz w:val="22"/>
              </w:rPr>
              <w:t>Open Market Sale</w:t>
            </w:r>
          </w:p>
        </w:tc>
        <w:tc>
          <w:tcPr>
            <w:tcW w:type="dxa" w:w="1440"/>
          </w:tcPr>
          <w:p>
            <w:r>
              <w:rPr>
                <w:rFonts w:ascii="Calibri" w:hAnsi="Calibri"/>
                <w:sz w:val="22"/>
              </w:rPr>
              <w:t>18,386 shares (Jul 20); 20,534 shares (Jul 17)</w:t>
            </w:r>
          </w:p>
        </w:tc>
        <w:tc>
          <w:tcPr>
            <w:tcW w:type="dxa" w:w="1440"/>
          </w:tcPr>
          <w:p>
            <w:r>
              <w:rPr>
                <w:rFonts w:ascii="Calibri" w:hAnsi="Calibri"/>
                <w:sz w:val="22"/>
              </w:rPr>
              <w:t>Jul 17–20, 2026</w:t>
            </w:r>
          </w:p>
        </w:tc>
        <w:tc>
          <w:tcPr>
            <w:tcW w:type="dxa" w:w="1440"/>
          </w:tcPr>
          <w:p>
            <w:r>
              <w:rPr>
                <w:rFonts w:ascii="Calibri" w:hAnsi="Calibri"/>
                <w:sz w:val="22"/>
              </w:rPr>
              <w:t>Indirect ownership via Alphabet Holdings LLC; not a named executive; not flagged as 10b5-1</w:t>
            </w:r>
          </w:p>
        </w:tc>
      </w:tr>
      <w:tr>
        <w:tc>
          <w:tcPr>
            <w:tcW w:type="dxa" w:w="1440"/>
          </w:tcPr>
          <w:p>
            <w:r>
              <w:rPr>
                <w:rFonts w:ascii="Calibri" w:hAnsi="Calibri"/>
                <w:sz w:val="22"/>
              </w:rPr>
              <w:t>Ethos Technologies Inc. (Issuer)</w:t>
            </w:r>
          </w:p>
        </w:tc>
        <w:tc>
          <w:tcPr>
            <w:tcW w:type="dxa" w:w="1440"/>
          </w:tcPr>
          <w:p>
            <w:r>
              <w:rPr>
                <w:rFonts w:ascii="Calibri" w:hAnsi="Calibri"/>
                <w:sz w:val="22"/>
              </w:rPr>
              <w:t>10% Owner (via Alphabet Holdings LLC)</w:t>
            </w:r>
          </w:p>
        </w:tc>
        <w:tc>
          <w:tcPr>
            <w:tcW w:type="dxa" w:w="1440"/>
          </w:tcPr>
          <w:p>
            <w:r>
              <w:rPr>
                <w:rFonts w:ascii="Calibri" w:hAnsi="Calibri"/>
                <w:sz w:val="22"/>
              </w:rPr>
              <w:t>Open Market Sale</w:t>
            </w:r>
          </w:p>
        </w:tc>
        <w:tc>
          <w:tcPr>
            <w:tcW w:type="dxa" w:w="1440"/>
          </w:tcPr>
          <w:p>
            <w:r>
              <w:rPr>
                <w:rFonts w:ascii="Calibri" w:hAnsi="Calibri"/>
                <w:sz w:val="22"/>
              </w:rPr>
              <w:t>74,492 shares (Jul 15); 19,595 shares (Jul 16)</w:t>
            </w:r>
          </w:p>
        </w:tc>
        <w:tc>
          <w:tcPr>
            <w:tcW w:type="dxa" w:w="1440"/>
          </w:tcPr>
          <w:p>
            <w:r>
              <w:rPr>
                <w:rFonts w:ascii="Calibri" w:hAnsi="Calibri"/>
                <w:sz w:val="22"/>
              </w:rPr>
              <w:t>Jul 15–16, 2026</w:t>
            </w:r>
          </w:p>
        </w:tc>
        <w:tc>
          <w:tcPr>
            <w:tcW w:type="dxa" w:w="1440"/>
          </w:tcPr>
          <w:p>
            <w:r>
              <w:rPr>
                <w:rFonts w:ascii="Calibri" w:hAnsi="Calibri"/>
                <w:sz w:val="22"/>
              </w:rPr>
              <w:t>Indirect ownership; not a named executive; sales coincide with stock weakness around Gemini delay news</w:t>
            </w:r>
          </w:p>
        </w:tc>
      </w:tr>
      <w:tr>
        <w:tc>
          <w:tcPr>
            <w:tcW w:type="dxa" w:w="1440"/>
          </w:tcPr>
          <w:p>
            <w:r>
              <w:rPr>
                <w:rFonts w:ascii="Calibri" w:hAnsi="Calibri"/>
                <w:sz w:val="22"/>
              </w:rPr>
              <w:t>John Kent Walker</w:t>
            </w:r>
          </w:p>
        </w:tc>
        <w:tc>
          <w:tcPr>
            <w:tcW w:type="dxa" w:w="1440"/>
          </w:tcPr>
          <w:p>
            <w:r>
              <w:rPr>
                <w:rFonts w:ascii="Calibri" w:hAnsi="Calibri"/>
                <w:sz w:val="22"/>
              </w:rPr>
              <w:t>President, Global Affairs &amp; CLO</w:t>
            </w:r>
          </w:p>
        </w:tc>
        <w:tc>
          <w:tcPr>
            <w:tcW w:type="dxa" w:w="1440"/>
          </w:tcPr>
          <w:p>
            <w:r>
              <w:rPr>
                <w:rFonts w:ascii="Calibri" w:hAnsi="Calibri"/>
                <w:sz w:val="22"/>
              </w:rPr>
              <w:t>10b5-1 Planned Sale</w:t>
            </w:r>
          </w:p>
        </w:tc>
        <w:tc>
          <w:tcPr>
            <w:tcW w:type="dxa" w:w="1440"/>
          </w:tcPr>
          <w:p>
            <w:r>
              <w:rPr>
                <w:rFonts w:ascii="Calibri" w:hAnsi="Calibri"/>
                <w:sz w:val="22"/>
              </w:rPr>
              <w:t>8,998 shares (~$3.1M est.)</w:t>
            </w:r>
          </w:p>
        </w:tc>
        <w:tc>
          <w:tcPr>
            <w:tcW w:type="dxa" w:w="1440"/>
          </w:tcPr>
          <w:p>
            <w:r>
              <w:rPr>
                <w:rFonts w:ascii="Calibri" w:hAnsi="Calibri"/>
                <w:sz w:val="22"/>
              </w:rPr>
              <w:t>Jun 29, 2026</w:t>
            </w:r>
          </w:p>
        </w:tc>
        <w:tc>
          <w:tcPr>
            <w:tcW w:type="dxa" w:w="1440"/>
          </w:tcPr>
          <w:p>
            <w:r>
              <w:rPr>
                <w:rFonts w:ascii="Calibri" w:hAnsi="Calibri"/>
                <w:sz w:val="22"/>
              </w:rPr>
              <w:t>Pre-scheduled 10b5-1 plan; indirect via Arete Trust; routine</w:t>
            </w:r>
          </w:p>
        </w:tc>
      </w:tr>
      <w:tr>
        <w:tc>
          <w:tcPr>
            <w:tcW w:type="dxa" w:w="1440"/>
          </w:tcPr>
          <w:p>
            <w:r>
              <w:rPr>
                <w:rFonts w:ascii="Calibri" w:hAnsi="Calibri"/>
                <w:sz w:val="22"/>
              </w:rPr>
              <w:t>Frances Arnold</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112 shares (Jun 30); 102 shares (May 29); 102 shares (Apr 30)</w:t>
            </w:r>
          </w:p>
        </w:tc>
        <w:tc>
          <w:tcPr>
            <w:tcW w:type="dxa" w:w="1440"/>
          </w:tcPr>
          <w:p>
            <w:r>
              <w:rPr>
                <w:rFonts w:ascii="Calibri" w:hAnsi="Calibri"/>
                <w:sz w:val="22"/>
              </w:rPr>
              <w:t>Apr–Jun 2026</w:t>
            </w:r>
          </w:p>
        </w:tc>
        <w:tc>
          <w:tcPr>
            <w:tcW w:type="dxa" w:w="1440"/>
          </w:tcPr>
          <w:p>
            <w:r>
              <w:rPr>
                <w:rFonts w:ascii="Calibri" w:hAnsi="Calibri"/>
                <w:sz w:val="22"/>
              </w:rPr>
              <w:t>Pre-scheduled 10b5-1 plan; very small, routine director sales</w:t>
            </w:r>
          </w:p>
        </w:tc>
      </w:tr>
      <w:tr>
        <w:tc>
          <w:tcPr>
            <w:tcW w:type="dxa" w:w="1440"/>
          </w:tcPr>
          <w:p>
            <w:r>
              <w:rPr>
                <w:rFonts w:ascii="Calibri" w:hAnsi="Calibri"/>
                <w:sz w:val="22"/>
              </w:rPr>
              <w:t>Marsida Saraci</w:t>
            </w:r>
          </w:p>
        </w:tc>
        <w:tc>
          <w:tcPr>
            <w:tcW w:type="dxa" w:w="1440"/>
          </w:tcPr>
          <w:p>
            <w:r>
              <w:rPr>
                <w:rFonts w:ascii="Calibri" w:hAnsi="Calibri"/>
                <w:sz w:val="22"/>
              </w:rPr>
              <w:t>VP, Chief Accounting Officer</w:t>
            </w:r>
          </w:p>
        </w:tc>
        <w:tc>
          <w:tcPr>
            <w:tcW w:type="dxa" w:w="1440"/>
          </w:tcPr>
          <w:p>
            <w:r>
              <w:rPr>
                <w:rFonts w:ascii="Calibri" w:hAnsi="Calibri"/>
                <w:sz w:val="22"/>
              </w:rPr>
              <w:t>10b5-1 Planned Sale</w:t>
            </w:r>
          </w:p>
        </w:tc>
        <w:tc>
          <w:tcPr>
            <w:tcW w:type="dxa" w:w="1440"/>
          </w:tcPr>
          <w:p>
            <w:r>
              <w:rPr>
                <w:rFonts w:ascii="Calibri" w:hAnsi="Calibri"/>
                <w:sz w:val="22"/>
              </w:rPr>
              <w:t>449 shares (~$155K est.)</w:t>
            </w:r>
          </w:p>
        </w:tc>
        <w:tc>
          <w:tcPr>
            <w:tcW w:type="dxa" w:w="1440"/>
          </w:tcPr>
          <w:p>
            <w:r>
              <w:rPr>
                <w:rFonts w:ascii="Calibri" w:hAnsi="Calibri"/>
                <w:sz w:val="22"/>
              </w:rPr>
              <w:t>Jun 26, 2026</w:t>
            </w:r>
          </w:p>
        </w:tc>
        <w:tc>
          <w:tcPr>
            <w:tcW w:type="dxa" w:w="1440"/>
          </w:tcPr>
          <w:p>
            <w:r>
              <w:rPr>
                <w:rFonts w:ascii="Calibri" w:hAnsi="Calibri"/>
                <w:sz w:val="22"/>
              </w:rPr>
              <w:t>Pre-scheduled 10b5-1 plan; routine; small size</w:t>
            </w:r>
          </w:p>
        </w:tc>
      </w:tr>
      <w:tr>
        <w:tc>
          <w:tcPr>
            <w:tcW w:type="dxa" w:w="1440"/>
          </w:tcPr>
          <w:p>
            <w:r>
              <w:rPr>
                <w:rFonts w:ascii="Calibri" w:hAnsi="Calibri"/>
                <w:sz w:val="22"/>
              </w:rPr>
              <w:t>John L. Hennessy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1,050 shares (Jun 15); 1,050 shares (May 15)</w:t>
            </w:r>
          </w:p>
        </w:tc>
        <w:tc>
          <w:tcPr>
            <w:tcW w:type="dxa" w:w="1440"/>
          </w:tcPr>
          <w:p>
            <w:r>
              <w:rPr>
                <w:rFonts w:ascii="Calibri" w:hAnsi="Calibri"/>
                <w:sz w:val="22"/>
              </w:rPr>
              <w:t>May–Jun 2026</w:t>
            </w:r>
          </w:p>
        </w:tc>
        <w:tc>
          <w:tcPr>
            <w:tcW w:type="dxa" w:w="1440"/>
          </w:tcPr>
          <w:p>
            <w:r>
              <w:rPr>
                <w:rFonts w:ascii="Calibri" w:hAnsi="Calibri"/>
                <w:sz w:val="22"/>
              </w:rPr>
              <w:t>Pre-scheduled 10b5-1 plan; indirect via trust; routine monthly sales</w:t>
            </w:r>
          </w:p>
        </w:tc>
      </w:tr>
    </w:tbl>
    <w:p>
      <w:r>
        <w:rPr>
          <w:rFonts w:ascii="Calibri" w:hAnsi="Calibri"/>
          <w:i/>
          <w:color w:val="525866"/>
          <w:sz w:val="22"/>
        </w:rPr>
        <w:t>Source: SEC Form 4 Filings Database (https://www.sec.gov/); Form 144 filings (SEC EDGAR). All transactions disclosed between April 29 and July 21, 2026.</w:t>
      </w:r>
    </w:p>
    <w:p>
      <w:r>
        <w:rPr>
          <w:rFonts w:ascii="Calibri" w:hAnsi="Calibri"/>
          <w:b/>
          <w:color w:val="525866"/>
          <w:sz w:val="22"/>
        </w:rPr>
        <w:t xml:space="preserve">Assessment: </w:t>
      </w:r>
      <w:r>
        <w:rPr>
          <w:rFonts w:ascii="Calibri" w:hAnsi="Calibri"/>
          <w:color w:val="525866"/>
          <w:sz w:val="22"/>
        </w:rPr>
        <w:t xml:space="preserve">Nothing stands out as a discretionary signal. All named executive and director sales are 10b5-1 pre-scheduled plans — obligation-driven, not conviction-driven. The Lawrence Page Trust Form 144 filings (~$91M combined) are the largest in dollar terms but are routine founder estate planning. The Ethos Technologies / Alphabet Holdings LLC sales are from an indirect 10% owner entity, not a named executive, and their timing around the Gemini delay news (July 15–16) is likely coincidental given the pre-planned nature of such programs. </w:t>
      </w:r>
      <w:r>
        <w:rPr>
          <w:rFonts w:ascii="Calibri" w:hAnsi="Calibri"/>
          <w:b/>
          <w:color w:val="525866"/>
          <w:sz w:val="22"/>
        </w:rPr>
        <w:t>No open-market buys from any insider since the Q1 print.</w:t>
      </w:r>
    </w:p>
    <w:p>
      <w:r>
        <w:br w:type="page"/>
      </w:r>
    </w:p>
    <w:p>
      <w:pPr>
        <w:pStyle w:val="Heading2"/>
      </w:pPr>
      <w:r>
        <w:rPr>
          <w:rFonts w:ascii="Calibri" w:hAnsi="Calibri"/>
          <w:b/>
          <w:color w:val="3B4259"/>
          <w:sz w:val="28"/>
        </w:rPr>
        <w:t>Appendix —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Income Statement KPIs (https://insights.visiblealpha.com/mex/GOOGL/NMV/IS) — Consolidated revenue, EPS — Diluted — Operating, Operating margin — Operating(%)</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Revenue Segment KPIs (https://insights.visiblealpha.com/mex/GOOGL/NMV/RV) — Google cloud revenue, Google Search &amp; other revenue</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Segment Operating Income (https://insights.visiblealpha.com/mex/GOOGL/NMV/SG) — Income/(loss) from operations — Cloud solutions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Cash Flow KPIs (https://insights.visiblealpha.com/mex/GOOGL/NMV/CF) — Purchases of property and equipment</w:t>
      </w:r>
    </w:p>
    <w:p>
      <w:pPr>
        <w:pStyle w:val="ListBullet"/>
        <w:ind w:left="360" w:hanging="360"/>
      </w:pPr>
      <w:r>
        <w:rPr>
          <w:rFonts w:ascii="Calibri" w:hAnsi="Calibri"/>
          <w:b/>
          <w:color w:val="525866"/>
          <w:sz w:val="22"/>
        </w:rPr>
        <w:t>Stock Price Data:</w:t>
      </w:r>
      <w:r>
        <w:rPr>
          <w:rFonts w:ascii="Calibri" w:hAnsi="Calibri"/>
          <w:color w:val="525866"/>
          <w:sz w:val="22"/>
        </w:rPr>
        <w:t xml:space="preserve"> Yahoo Finance — GOOGL, XLC, SPY daily close prices April 29 – July 21,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Database (https://www.sec.gov/) — Form 4 and Form 144 filings, April 29 – July 21, 2026</w:t>
      </w:r>
    </w:p>
    <w:p>
      <w:pPr>
        <w:pStyle w:val="ListBullet"/>
        <w:ind w:left="360" w:hanging="360"/>
      </w:pPr>
      <w:r>
        <w:rPr>
          <w:rFonts w:ascii="Calibri" w:hAnsi="Calibri"/>
          <w:b/>
          <w:color w:val="525866"/>
          <w:sz w:val="22"/>
        </w:rPr>
        <w:t>Alphabet Q1 2026 Earnings Release (8-K EX-99.1):</w:t>
      </w:r>
      <w:r>
        <w:rPr>
          <w:rFonts w:ascii="Calibri" w:hAnsi="Calibri"/>
          <w:color w:val="525866"/>
          <w:sz w:val="22"/>
        </w:rPr>
        <w:t xml:space="preserve"> Filed April 29, 2026 — Quarterly financial results, guidance, and management commentary</w:t>
      </w:r>
    </w:p>
    <w:p>
      <w:pPr>
        <w:pStyle w:val="ListBullet"/>
        <w:ind w:left="360" w:hanging="360"/>
      </w:pPr>
      <w:r>
        <w:rPr>
          <w:rFonts w:ascii="Calibri" w:hAnsi="Calibri"/>
          <w:b/>
          <w:color w:val="525866"/>
          <w:sz w:val="22"/>
        </w:rPr>
        <w:t>Alphabet Q1 2026 Earnings Call Transcript:</w:t>
      </w:r>
      <w:r>
        <w:rPr>
          <w:rFonts w:ascii="Calibri" w:hAnsi="Calibri"/>
          <w:color w:val="525866"/>
          <w:sz w:val="22"/>
        </w:rPr>
        <w:t xml:space="preserve"> April 29, 2026 — Sundar Pichai and Anat Ashkenazi commentary on Q2 outlook, CapEx guidance, Cloud backlog, and margin trajectory</w:t>
      </w:r>
    </w:p>
    <w:p>
      <w:pPr>
        <w:pStyle w:val="ListBullet"/>
        <w:ind w:left="360" w:hanging="360"/>
      </w:pPr>
      <w:r>
        <w:rPr>
          <w:rFonts w:ascii="Calibri" w:hAnsi="Calibri"/>
          <w:b/>
          <w:color w:val="525866"/>
          <w:sz w:val="22"/>
        </w:rPr>
        <w:t>Alphabet 8-K (May 11, 2026):</w:t>
      </w:r>
      <w:r>
        <w:rPr>
          <w:rFonts w:ascii="Calibri" w:hAnsi="Calibri"/>
          <w:color w:val="525866"/>
          <w:sz w:val="22"/>
        </w:rPr>
        <w:t xml:space="preserve"> Dual-currency senior notes offering (€9B + C$9.5B)</w:t>
      </w:r>
    </w:p>
    <w:p>
      <w:pPr>
        <w:pStyle w:val="ListBullet"/>
        <w:ind w:left="360" w:hanging="360"/>
      </w:pPr>
      <w:r>
        <w:rPr>
          <w:rFonts w:ascii="Calibri" w:hAnsi="Calibri"/>
          <w:b/>
          <w:color w:val="525866"/>
          <w:sz w:val="22"/>
        </w:rPr>
        <w:t>News Sources:</w:t>
      </w:r>
      <w:r>
        <w:rPr>
          <w:rFonts w:ascii="Calibri" w:hAnsi="Calibri"/>
          <w:color w:val="525866"/>
          <w:sz w:val="22"/>
        </w:rPr>
        <w:t xml:space="preserve"> Bloomberg (July 16 — Gemini 3.5 Pro delay), The Information (July 14 — AWS demand; July 20 — Frozen v2 chip), Reuters (July 2 — Zuckerberg town hall), CNBC (July 2 — Meta cloud; July 15 — Buffett/Berkshire), Barron’s (July 7 — BofA CapEx estimates; July 13 — Google traffic data; July 13 — Meta AI splurge), TechCrunch (July 21 — Gemini model releases), Washington Post (July 16 — EU Android ruling)</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