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c-earnings-predictions--2026-07-21"/>
    <w:p>
      <w:pPr>
        <w:pStyle w:val="Heading1"/>
      </w:pPr>
      <w:r>
        <w:t xml:space="preserve">GPC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~$2.09 vs. cons $2.10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~$6.45B vs. cons $6.42B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 (Motion) segment comp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~+4.2% vs. cons ~+3.4%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</m:oMath>
            <w:r>
              <w:t xml:space="preserve">8.00 (mid $7.75) vs. cons $7.69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+3% to +5.5% (mid ~+4.25%) vs. cons ~+4.3%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O'Reilly NAPA bid / separation framing (spin vs. sale)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no confirmation of ~</w:t>
            </w:r>
            <m:oMath>
              <m:r>
                <m:t>10</m:t>
              </m:r>
              <m:r>
                <m:t>B</m:t>
              </m:r>
              <m:r>
                <m:t>O</m:t>
              </m:r>
              <m:r>
                <m:t>R</m:t>
              </m:r>
              <m:r>
                <m:t>L</m:t>
              </m:r>
              <m:r>
                <m:t>Y</m:t>
              </m:r>
              <m:r>
                <m:t>b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;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Q</m:t>
              </m:r>
              <m:r>
                <m:t>1</m:t>
              </m:r>
              <m:r>
                <m:rPr>
                  <m:sty m:val="p"/>
                </m:rPr>
                <m:t>−</m:t>
              </m:r>
              <m:r>
                <m:t>2027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m</m:t>
              </m:r>
              <m:r>
                <m:t>a</m:t>
              </m:r>
              <m:r>
                <m:t>r</m:t>
              </m:r>
              <m:r>
                <m:t>k</m:t>
              </m:r>
              <m:r>
                <m:t>e</m:t>
              </m:r>
              <m:r>
                <m:t>t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t> </m:t>
              </m:r>
            </m:oMath>
            <w:r>
              <w:t xml:space="preserve">132 deal-hope peak vs. $122 current (Q1 2027 event)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(STABILIZE)</w:t>
            </w:r>
          </w:p>
        </w:tc>
        <w:tc>
          <w:tcPr/>
          <w:p>
            <w:pPr>
              <w:pStyle w:val="Compact"/>
            </w:pPr>
            <w:r>
              <w:t xml:space="preserve">An in-line print with guidance merely reaffirmed and a 'no comment / committed to Q1-2027 separation' stance likely disappoints a stock that already priced ~14% of deal premium (rallied from ~$93 to $132 on the July 2 ORLY report, now $122), so day-1 gives back some premium. Out-period math is neutral-to-soft (no raise, wide GAAP-vs-adjusted gap from separation/restructuring costs, thin auto margins) which pressures estimates modestly, but the live O'Reilly optionality and strong Industrial momentum put a floor under the shares, so the residual stabilizes rather than fully fading the pop.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2026-07-21T00:31:46Z</dcterms:created>
  <dcterms:modified xsi:type="dcterms:W3CDTF">2026-07-21T00:31:46Z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