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GPC before writing the preview. Let me start by gathering recent filings, transcripts, and news.Let me read the most recent earnings materials and the year-ago quarter for comparison.Now let me get the year-ago Q2 comparison, the Q1 2026 call transcript, recent news, and stock price.I have strong fundamentals. Let me get analyst consensus estimates and the latest on the O'Reilly bid, plus try the Q1 call transcript for management tone.I have enough to write a thorough preview. Let me compile the key data points.Now I'll write the preview.</w:t>
      </w:r>
    </w:p>
    <w:bookmarkStart w:id="16" w:name="Xe8fa4535a5007bcc96ccbfd64ac6ec7c7c30cc1"/>
    <w:p>
      <w:pPr>
        <w:pStyle w:val="Heading1"/>
      </w:pPr>
      <w:r>
        <w:t xml:space="preserve">Genuine Parts Company (GPC) — Q2 2026 Earnings Preview</w:t>
      </w:r>
    </w:p>
    <w:p>
      <w:pPr>
        <w:pStyle w:val="FirstParagraph"/>
      </w:pPr>
      <w:r>
        <w:rPr>
          <w:b/>
          <w:bCs/>
        </w:rPr>
        <w:t xml:space="preserve">Report date:</w:t>
      </w:r>
      <w:r>
        <w:t xml:space="preserve"> </w:t>
      </w:r>
      <w:r>
        <w:t xml:space="preserve">Tuesday, July 21, 2026 (pre-market) | Conference call 8:30 a.m. ET</w:t>
      </w:r>
      <w:r>
        <w:t xml:space="preserve"> </w:t>
      </w:r>
      <w:r>
        <w:rPr>
          <w:b/>
          <w:bCs/>
        </w:rPr>
        <w:t xml:space="preserve">Stock (7/20/26 close):</w:t>
      </w:r>
      <w:r>
        <w:t xml:space="preserve"> </w:t>
      </w:r>
      <w:r>
        <w:t xml:space="preserve">~$122.43 | roughly flat YTD (–1.3%)</w:t>
      </w:r>
    </w:p>
    <w:p>
      <w:r>
        <w:pict>
          <v:rect style="width:0;height:1.5pt" o:hralign="center" o:hrstd="t" o:hr="t"/>
        </w:pict>
      </w:r>
    </w:p>
    <w:bookmarkStart w:id="9" w:name="X1e0315d78b1bb736f82e35ba5ee13e07bdfc595"/>
    <w:p>
      <w:pPr>
        <w:pStyle w:val="Heading2"/>
      </w:pPr>
      <w:r>
        <w:t xml:space="preserve">The one thing that matters: this is no longer just an earnings report</w:t>
      </w:r>
    </w:p>
    <w:p>
      <w:pPr>
        <w:pStyle w:val="FirstParagraph"/>
      </w:pPr>
      <w:r>
        <w:t xml:space="preserve">Normally GPC is a slow-and-steady dividend aristocrat where you watch comp sales and margins. This quarter, the fundamentals are almost a sideshow. Two structural events dominate the story:</w:t>
      </w:r>
    </w:p>
    <w:p>
      <w:pPr>
        <w:pStyle w:val="Compact"/>
        <w:numPr>
          <w:ilvl w:val="0"/>
          <w:numId w:val="1001"/>
        </w:numPr>
      </w:pPr>
      <w:r>
        <w:rPr>
          <w:b/>
          <w:bCs/>
        </w:rPr>
        <w:t xml:space="preserve">The planned break-up.</w:t>
      </w:r>
      <w:r>
        <w:t xml:space="preserve"> </w:t>
      </w:r>
      <w:r>
        <w:t xml:space="preserve">On February 17, 2026, GPC announced it will separate into two independent public companies —</w:t>
      </w:r>
      <w:r>
        <w:t xml:space="preserve"> </w:t>
      </w:r>
      <w:r>
        <w:rPr>
          <w:b/>
          <w:bCs/>
        </w:rPr>
        <w:t xml:space="preserve">Global Automotive (NAPA)</w:t>
      </w:r>
      <w:r>
        <w:t xml:space="preserve"> </w:t>
      </w:r>
      <w:r>
        <w:t xml:space="preserve">and</w:t>
      </w:r>
      <w:r>
        <w:t xml:space="preserve"> </w:t>
      </w:r>
      <w:r>
        <w:rPr>
          <w:b/>
          <w:bCs/>
        </w:rPr>
        <w:t xml:space="preserve">Global Industrial (Motion)</w:t>
      </w:r>
      <w:r>
        <w:t xml:space="preserve"> </w:t>
      </w:r>
      <w:r>
        <w:t xml:space="preserve">— targeted for completion in</w:t>
      </w:r>
      <w:r>
        <w:t xml:space="preserve"> </w:t>
      </w:r>
      <w:r>
        <w:rPr>
          <w:b/>
          <w:bCs/>
        </w:rPr>
        <w:t xml:space="preserve">Q1 2027</w:t>
      </w:r>
      <w:r>
        <w:t xml:space="preserve">. Management reaffirmed at Q1 that the separation "remains on track."</w:t>
      </w:r>
    </w:p>
    <w:p>
      <w:pPr>
        <w:pStyle w:val="Compact"/>
        <w:numPr>
          <w:ilvl w:val="0"/>
          <w:numId w:val="1001"/>
        </w:numPr>
      </w:pPr>
      <w:r>
        <w:rPr>
          <w:b/>
          <w:bCs/>
        </w:rPr>
        <w:t xml:space="preserve">The O'Reilly bid.</w:t>
      </w:r>
      <w:r>
        <w:t xml:space="preserve"> </w:t>
      </w:r>
      <w:r>
        <w:t xml:space="preserve">In early July, Bloomberg reported that **O'Reilly Automotive (ORLY) submitted a ~</w:t>
      </w:r>
      <m:oMath>
        <m:r>
          <m:t>10</m:t>
        </m:r>
        <m:r>
          <m:t>b</m:t>
        </m:r>
        <m:r>
          <m:t>i</m:t>
        </m:r>
        <m:r>
          <m:t>l</m:t>
        </m:r>
        <m:r>
          <m:t>l</m:t>
        </m:r>
        <m:r>
          <m:t>i</m:t>
        </m:r>
        <m:r>
          <m:t>o</m:t>
        </m:r>
        <m:r>
          <m:t>n</m:t>
        </m:r>
        <m:r>
          <m:t>c</m:t>
        </m:r>
        <m:r>
          <m:t>a</m:t>
        </m:r>
        <m:r>
          <m:t>s</m:t>
        </m:r>
        <m:r>
          <m:t>h</m:t>
        </m:r>
        <m:r>
          <m:t>b</m:t>
        </m:r>
        <m:r>
          <m:t>i</m:t>
        </m:r>
        <m:r>
          <m:t>d</m:t>
        </m:r>
        <m:r>
          <m:t>f</m:t>
        </m:r>
        <m:r>
          <m:t>o</m:t>
        </m:r>
        <m:r>
          <m:t>r</m:t>
        </m:r>
        <m:r>
          <m:t>G</m:t>
        </m:r>
        <m:r>
          <m:t>P</m:t>
        </m:r>
        <m:sSup>
          <m:e>
            <m:r>
              <m:t>C</m:t>
            </m:r>
          </m:e>
          <m:sup>
            <m:r>
              <m:rPr>
                <m:sty m:val="p"/>
              </m:rPr>
              <m:t>′</m:t>
            </m:r>
          </m:sup>
        </m:sSup>
        <m:r>
          <m:t>s</m:t>
        </m:r>
        <m:r>
          <m:t>a</m:t>
        </m:r>
        <m:r>
          <m:t>u</m:t>
        </m:r>
        <m:r>
          <m:t>t</m:t>
        </m:r>
        <m:r>
          <m:t>o</m:t>
        </m:r>
        <m:r>
          <m:t>m</m:t>
        </m:r>
        <m:r>
          <m:t>o</m:t>
        </m:r>
        <m:r>
          <m:t>t</m:t>
        </m:r>
        <m:r>
          <m:t>i</m:t>
        </m:r>
        <m:r>
          <m:t>v</m:t>
        </m:r>
        <m:r>
          <m:t>e</m:t>
        </m:r>
        <m:r>
          <m:rPr>
            <m:sty m:val="p"/>
          </m:rPr>
          <m:t>(</m:t>
        </m:r>
        <m:r>
          <m:t>N</m:t>
        </m:r>
        <m:r>
          <m:t>A</m:t>
        </m:r>
        <m:r>
          <m:t>P</m:t>
        </m:r>
        <m:r>
          <m:t>A</m:t>
        </m:r>
        <m:r>
          <m:rPr>
            <m:sty m:val="p"/>
          </m:rPr>
          <m:t>)</m:t>
        </m:r>
        <m:r>
          <m:t>b</m:t>
        </m:r>
        <m:r>
          <m:t>u</m:t>
        </m:r>
        <m:r>
          <m:t>s</m:t>
        </m:r>
        <m:r>
          <m:t>i</m:t>
        </m:r>
        <m:r>
          <m:t>n</m:t>
        </m:r>
        <m:r>
          <m:t>e</m:t>
        </m:r>
        <m:r>
          <m:t>s</m:t>
        </m:r>
        <m:r>
          <m:t>s</m:t>
        </m:r>
        <m:r>
          <m:rPr>
            <m:sty m:val="p"/>
          </m:rPr>
          <m:t>.</m:t>
        </m:r>
        <m:r>
          <m:rPr>
            <m:sty m:val="p"/>
          </m:rPr>
          <m:t>*</m:t>
        </m:r>
        <m:r>
          <m:rPr>
            <m:sty m:val="p"/>
          </m:rPr>
          <m:t>*</m:t>
        </m:r>
        <m:r>
          <m:t>G</m:t>
        </m:r>
        <m:r>
          <m:t>P</m:t>
        </m:r>
        <m:r>
          <m:t>C</m:t>
        </m:r>
        <m:r>
          <m:t>s</m:t>
        </m:r>
        <m:r>
          <m:t>h</m:t>
        </m:r>
        <m:r>
          <m:t>a</m:t>
        </m:r>
        <m:r>
          <m:t>r</m:t>
        </m:r>
        <m:r>
          <m:t>e</m:t>
        </m:r>
        <m:r>
          <m:t>s</m:t>
        </m:r>
        <m:r>
          <m:t>j</m:t>
        </m:r>
        <m:r>
          <m:t>u</m:t>
        </m:r>
        <m:r>
          <m:t>m</m:t>
        </m:r>
        <m:r>
          <m:t>p</m:t>
        </m:r>
        <m:r>
          <m:t>e</m:t>
        </m:r>
        <m:r>
          <m:t>d</m:t>
        </m:r>
        <m:r>
          <m:t> </m:t>
        </m:r>
        <m:r>
          <m:t>14</m:t>
        </m:r>
      </m:oMath>
      <w:r>
        <w:t xml:space="preserve">122.</w:t>
      </w:r>
    </w:p>
    <w:p>
      <w:pPr>
        <w:pStyle w:val="FirstParagraph"/>
      </w:pPr>
      <w:r>
        <w:t xml:space="preserve">The central question on this call is no longer "did they beat?" but</w:t>
      </w:r>
      <w:r>
        <w:t xml:space="preserve"> </w:t>
      </w:r>
      <w:r>
        <w:rPr>
          <w:b/>
          <w:bCs/>
        </w:rPr>
        <w:t xml:space="preserve">"spin vs. sale?"</w:t>
      </w:r>
      <w:r>
        <w:t xml:space="preserve"> </w:t>
      </w:r>
      <w:r>
        <w:t xml:space="preserve">— i.e., whether management stays the course on a tax-efficient separation or entertains an outright sale of NAPA at what would be its largest transaction since acquiring CSK Auto in 2008.</w:t>
      </w:r>
    </w:p>
    <w:p>
      <w:pPr>
        <w:pStyle w:val="BlockText"/>
      </w:pPr>
      <w:r>
        <w:rPr>
          <w:b/>
          <w:bCs/>
        </w:rPr>
        <w:t xml:space="preserve">Watch for:</w:t>
      </w:r>
      <w:r>
        <w:t xml:space="preserve"> </w:t>
      </w:r>
      <w:r>
        <w:t xml:space="preserve">Any commentary that shifts the framing from "on track for Q1 2027 separation" toward "evaluating strategic alternatives / all offers." Management will likely decline to comment on the specific O'Reilly report, but the</w:t>
      </w:r>
      <w:r>
        <w:t xml:space="preserve"> </w:t>
      </w:r>
      <w:r>
        <w:rPr>
          <w:i/>
          <w:iCs/>
        </w:rPr>
        <w:t xml:space="preserve">language</w:t>
      </w:r>
      <w:r>
        <w:t xml:space="preserve"> </w:t>
      </w:r>
      <w:r>
        <w:t xml:space="preserve">around the separation timeline and structure is the highest-value takeaway of the day. Note the layered complications flagged by the sell side: NAPA operates only ~1/3 of its ~10,000+ U.S. stores directly (independents own the rest), and there is heavy geographic overlap with O'Reilly (UBS noted ~60% of NAPA U.S. stores have an O'Reilly within a 10-minute drive), raising real FTC/antitrust and deal-structure risk.</w:t>
      </w:r>
    </w:p>
    <w:p>
      <w:r>
        <w:pict>
          <v:rect style="width:0;height:1.5pt" o:hralign="center" o:hrstd="t" o:hr="t"/>
        </w:pict>
      </w:r>
    </w:p>
    <w:bookmarkEnd w:id="9"/>
    <w:bookmarkStart w:id="10" w:name="consensus--what-in-line-looks-like"/>
    <w:p>
      <w:pPr>
        <w:pStyle w:val="Heading2"/>
      </w:pPr>
      <w:r>
        <w:t xml:space="preserve">Consensus &amp; what "in-line" looks like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 Consensus</w:t>
            </w:r>
          </w:p>
        </w:tc>
        <w:tc>
          <w:tcPr/>
          <w:p>
            <w:pPr>
              <w:pStyle w:val="Compact"/>
            </w:pPr>
            <w:r>
              <w:t xml:space="preserve">Q2 2025 Actual</w:t>
            </w:r>
          </w:p>
        </w:tc>
        <w:tc>
          <w:tcPr/>
          <w:p>
            <w:pPr>
              <w:pStyle w:val="Compact"/>
            </w:pPr>
            <w:r>
              <w:t xml:space="preserve">Implied YoY</w:t>
            </w:r>
          </w:p>
        </w:tc>
      </w:tr>
      <w:tr>
        <w:tc>
          <w:tcPr/>
          <w:p>
            <w:pPr>
              <w:pStyle w:val="Compact"/>
            </w:pPr>
            <w:r>
              <w:t xml:space="preserve">Adjusted EPS</w:t>
            </w:r>
          </w:p>
        </w:tc>
        <w:tc>
          <w:tcPr/>
          <w:p>
            <w:pPr>
              <w:pStyle w:val="Compact"/>
            </w:pPr>
            <w:r>
              <w:t xml:space="preserve">~$2.10</w:t>
            </w:r>
          </w:p>
        </w:tc>
        <w:tc>
          <w:tcPr/>
          <w:p>
            <w:pPr>
              <w:pStyle w:val="Compact"/>
            </w:pPr>
            <w:r>
              <w:t xml:space="preserve">$2.10</w:t>
            </w:r>
          </w:p>
        </w:tc>
        <w:tc>
          <w:tcPr/>
          <w:p>
            <w:pPr>
              <w:pStyle w:val="Compact"/>
            </w:pPr>
            <w:r>
              <w:t xml:space="preserve">~flat</w:t>
            </w:r>
          </w:p>
        </w:tc>
      </w:tr>
      <w:tr>
        <w:tc>
          <w:tcPr/>
          <w:p>
            <w:pPr>
              <w:pStyle w:val="Compact"/>
            </w:pPr>
            <w:r>
              <w:t xml:space="preserve">Revenue</w:t>
            </w:r>
          </w:p>
        </w:tc>
        <w:tc>
          <w:tcPr/>
          <w:p>
            <w:pPr>
              <w:pStyle w:val="Compact"/>
            </w:pPr>
            <w:r>
              <w:t xml:space="preserve">~</w:t>
            </w:r>
            <m:oMath>
              <m:r>
                <m:t>6.39</m:t>
              </m:r>
              <m:r>
                <m:t>B</m:t>
              </m:r>
              <m:r>
                <m:rPr>
                  <m:sty m:val="p"/>
                </m:rPr>
                <m:t>–</m:t>
              </m:r>
            </m:oMath>
            <w:r>
              <w:t xml:space="preserve">6.50B</w:t>
            </w:r>
          </w:p>
        </w:tc>
        <w:tc>
          <w:tcPr/>
          <w:p>
            <w:pPr>
              <w:pStyle w:val="Compact"/>
            </w:pPr>
            <w:r>
              <w:t xml:space="preserve">$6.16B</w:t>
            </w:r>
          </w:p>
        </w:tc>
        <w:tc>
          <w:tcPr/>
          <w:p>
            <w:pPr>
              <w:pStyle w:val="Compact"/>
            </w:pPr>
            <w:r>
              <w:t xml:space="preserve">+4–5%</w:t>
            </w:r>
          </w:p>
        </w:tc>
      </w:tr>
    </w:tbl>
    <w:p>
      <w:pPr>
        <w:pStyle w:val="Compact"/>
        <w:numPr>
          <w:ilvl w:val="0"/>
          <w:numId w:val="1002"/>
        </w:numPr>
      </w:pPr>
      <w:r>
        <w:t xml:space="preserve">Street EPS is essentially</w:t>
      </w:r>
      <w:r>
        <w:t xml:space="preserve"> </w:t>
      </w:r>
      <w:r>
        <w:rPr>
          <w:b/>
          <w:bCs/>
        </w:rPr>
        <w:t xml:space="preserve">flat year-over-year</w:t>
      </w:r>
      <w:r>
        <w:t xml:space="preserve"> </w:t>
      </w:r>
      <w:r>
        <w:t xml:space="preserve">(~$2.10) on</w:t>
      </w:r>
      <w:r>
        <w:t xml:space="preserve"> </w:t>
      </w:r>
      <w:r>
        <w:rPr>
          <w:b/>
          <w:bCs/>
        </w:rPr>
        <w:t xml:space="preserve">higher revenue</w:t>
      </w:r>
      <w:r>
        <w:t xml:space="preserve"> </w:t>
      </w:r>
      <w:r>
        <w:t xml:space="preserve">— margin, not volume, is the pressure point.</w:t>
      </w:r>
    </w:p>
    <w:p>
      <w:pPr>
        <w:pStyle w:val="Compact"/>
        <w:numPr>
          <w:ilvl w:val="0"/>
          <w:numId w:val="1002"/>
        </w:numPr>
      </w:pPr>
      <w:r>
        <w:t xml:space="preserve">Full-year: analysts model FY26 EPS around</w:t>
      </w:r>
      <w:r>
        <w:t xml:space="preserve"> </w:t>
      </w:r>
      <m:oMath>
        <m:r>
          <m:t>7.69</m:t>
        </m:r>
        <m:r>
          <m:rPr>
            <m:sty m:val="p"/>
          </m:rPr>
          <m:t>*</m:t>
        </m:r>
        <m:r>
          <m:rPr>
            <m:sty m:val="p"/>
          </m:rPr>
          <m:t>*</m:t>
        </m:r>
        <m:r>
          <m:rPr>
            <m:sty m:val="p"/>
          </m:rPr>
          <m:t>,</m:t>
        </m:r>
        <m:r>
          <m:t>t</m:t>
        </m:r>
        <m:r>
          <m:t>o</m:t>
        </m:r>
        <m:r>
          <m:t>w</m:t>
        </m:r>
        <m:r>
          <m:t>a</m:t>
        </m:r>
        <m:r>
          <m:t>r</m:t>
        </m:r>
        <m:r>
          <m:t>d</m:t>
        </m:r>
        <m:r>
          <m:t>t</m:t>
        </m:r>
        <m:r>
          <m:t>h</m:t>
        </m:r>
        <m:r>
          <m:t>e</m:t>
        </m:r>
        <m:r>
          <m:t>m</m:t>
        </m:r>
        <m:r>
          <m:t>i</m:t>
        </m:r>
        <m:r>
          <m:t>d</m:t>
        </m:r>
        <m:r>
          <m:t>d</m:t>
        </m:r>
        <m:r>
          <m:t>l</m:t>
        </m:r>
        <m:r>
          <m:t>e</m:t>
        </m:r>
        <m:r>
          <m:t>o</m:t>
        </m:r>
        <m:r>
          <m:t>f</m:t>
        </m:r>
        <m:r>
          <m:t>G</m:t>
        </m:r>
        <m:r>
          <m:t>P</m:t>
        </m:r>
        <m:sSup>
          <m:e>
            <m:r>
              <m:t>C</m:t>
            </m:r>
          </m:e>
          <m:sup>
            <m:r>
              <m:rPr>
                <m:sty m:val="p"/>
              </m:rPr>
              <m:t>′</m:t>
            </m:r>
          </m:sup>
        </m:sSup>
        <m:r>
          <m:t>s</m:t>
        </m:r>
        <m:r>
          <m:t>g</m:t>
        </m:r>
        <m:r>
          <m:t>u</m:t>
        </m:r>
        <m:r>
          <m:t>i</m:t>
        </m:r>
        <m:r>
          <m:t>d</m:t>
        </m:r>
        <m:r>
          <m:t>e</m:t>
        </m:r>
        <m:r>
          <m:t>d</m:t>
        </m:r>
        <m:r>
          <m:rPr>
            <m:sty m:val="p"/>
          </m:rPr>
          <m:t>*</m:t>
        </m:r>
        <m:r>
          <m:rPr>
            <m:sty m:val="p"/>
          </m:rPr>
          <m:t>*</m:t>
        </m:r>
      </m:oMath>
      <w:r>
        <w:rPr>
          <w:b/>
          <w:bCs/>
        </w:rPr>
        <w:t xml:space="preserve">7.50–$8.00 adjusted</w:t>
      </w:r>
      <w:r>
        <w:t xml:space="preserve"> </w:t>
      </w:r>
      <w:r>
        <w:t xml:space="preserve">range.</w:t>
      </w:r>
    </w:p>
    <w:p>
      <w:pPr>
        <w:pStyle w:val="Compact"/>
        <w:numPr>
          <w:ilvl w:val="0"/>
          <w:numId w:val="1002"/>
        </w:numPr>
      </w:pPr>
      <w:r>
        <w:rPr>
          <w:b/>
          <w:bCs/>
        </w:rPr>
        <w:t xml:space="preserve">Recent track record is mixed:</w:t>
      </w:r>
      <w:r>
        <w:t xml:space="preserve"> </w:t>
      </w:r>
      <w:r>
        <w:t xml:space="preserve">GPC</w:t>
      </w:r>
      <w:r>
        <w:t xml:space="preserve"> </w:t>
      </w:r>
      <w:r>
        <w:rPr>
          <w:i/>
          <w:iCs/>
        </w:rPr>
        <w:t xml:space="preserve">missed</w:t>
      </w:r>
      <w:r>
        <w:t xml:space="preserve"> </w:t>
      </w:r>
      <w:r>
        <w:t xml:space="preserve">last quarter (Q1) on a headline basis — reporting adjusted EPS of</w:t>
      </w:r>
      <w:r>
        <w:t xml:space="preserve"> </w:t>
      </w:r>
      <m:oMath>
        <m:r>
          <m:t>1.77</m:t>
        </m:r>
        <m:r>
          <m:t>v</m:t>
        </m:r>
        <m:r>
          <m:t>s</m:t>
        </m:r>
        <m:r>
          <m:rPr>
            <m:sty m:val="p"/>
          </m:rPr>
          <m:t>.</m:t>
        </m:r>
        <m:r>
          <m:t> </m:t>
        </m:r>
      </m:oMath>
      <w:r>
        <w:rPr>
          <w:b/>
          <w:bCs/>
        </w:rPr>
        <w:t xml:space="preserve">1.81 expected</w:t>
      </w:r>
      <w:r>
        <w:t xml:space="preserve"> </w:t>
      </w:r>
      <w:r>
        <w:t xml:space="preserve">— even though management framed Q1 as "ahead of expectations" and reaffirmed guidance. That gap between the company's internal bar and the Street's is worth keeping in mind.</w:t>
      </w:r>
    </w:p>
    <w:p>
      <w:r>
        <w:pict>
          <v:rect style="width:0;height:1.5pt" o:hralign="center" o:hrstd="t" o:hr="t"/>
        </w:pict>
      </w:r>
    </w:p>
    <w:bookmarkEnd w:id="10"/>
    <w:bookmarkStart w:id="11" w:name="the-guidance-question"/>
    <w:p>
      <w:pPr>
        <w:pStyle w:val="Heading2"/>
      </w:pPr>
      <w:r>
        <w:t xml:space="preserve">The guidance question</w:t>
      </w:r>
    </w:p>
    <w:p>
      <w:pPr>
        <w:pStyle w:val="FirstParagraph"/>
      </w:pPr>
      <w:r>
        <w:t xml:space="preserve">GPC set FY2026 guidance on Feb 17 and</w:t>
      </w:r>
      <w:r>
        <w:t xml:space="preserve"> </w:t>
      </w:r>
      <w:r>
        <w:rPr>
          <w:b/>
          <w:bCs/>
        </w:rPr>
        <w:t xml:space="preserve">reaffirmed it at Q1</w:t>
      </w:r>
      <w: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FY2026 guide</w:t>
            </w:r>
          </w:p>
        </w:tc>
        <w:tc>
          <w:tcPr/>
          <w:p>
            <w:pPr>
              <w:pStyle w:val="Compact"/>
            </w:pPr>
            <w:r>
              <w:t xml:space="preserve">Range</w:t>
            </w:r>
          </w:p>
        </w:tc>
      </w:tr>
      <w:tr>
        <w:tc>
          <w:tcPr/>
          <w:p>
            <w:pPr>
              <w:pStyle w:val="Compact"/>
            </w:pPr>
            <w:r>
              <w:t xml:space="preserve">Total sales growth</w:t>
            </w:r>
          </w:p>
        </w:tc>
        <w:tc>
          <w:tcPr/>
          <w:p>
            <w:pPr>
              <w:pStyle w:val="Compact"/>
            </w:pPr>
            <w:r>
              <w:t xml:space="preserve">+3% to +5.5%</w:t>
            </w:r>
          </w:p>
        </w:tc>
      </w:tr>
      <w:tr>
        <w:tc>
          <w:tcPr/>
          <w:p>
            <w:pPr>
              <w:pStyle w:val="Compact"/>
            </w:pPr>
            <w:r>
              <w:t xml:space="preserve">North America Automotive</w:t>
            </w:r>
          </w:p>
        </w:tc>
        <w:tc>
          <w:tcPr/>
          <w:p>
            <w:pPr>
              <w:pStyle w:val="Compact"/>
            </w:pPr>
            <w:r>
              <w:t xml:space="preserve">+3% to +5%</w:t>
            </w:r>
          </w:p>
        </w:tc>
      </w:tr>
      <w:tr>
        <w:tc>
          <w:tcPr/>
          <w:p>
            <w:pPr>
              <w:pStyle w:val="Compact"/>
            </w:pPr>
            <w:r>
              <w:t xml:space="preserve">International Automotive</w:t>
            </w:r>
          </w:p>
        </w:tc>
        <w:tc>
          <w:tcPr/>
          <w:p>
            <w:pPr>
              <w:pStyle w:val="Compact"/>
            </w:pPr>
            <w:r>
              <w:t xml:space="preserve">+3% to +6%</w:t>
            </w:r>
          </w:p>
        </w:tc>
      </w:tr>
      <w:tr>
        <w:tc>
          <w:tcPr/>
          <w:p>
            <w:pPr>
              <w:pStyle w:val="Compact"/>
            </w:pPr>
            <w:r>
              <w:t xml:space="preserve">Industrial</w:t>
            </w:r>
          </w:p>
        </w:tc>
        <w:tc>
          <w:tcPr/>
          <w:p>
            <w:pPr>
              <w:pStyle w:val="Compact"/>
            </w:pPr>
            <w:r>
              <w:t xml:space="preserve">+3% to +6%</w:t>
            </w:r>
          </w:p>
        </w:tc>
      </w:tr>
      <w:tr>
        <w:tc>
          <w:tcPr/>
          <w:p>
            <w:pPr>
              <w:pStyle w:val="Compact"/>
            </w:pPr>
            <w:r>
              <w:t xml:space="preserve">GAAP diluted EPS</w:t>
            </w:r>
          </w:p>
        </w:tc>
        <w:tc>
          <w:tcPr/>
          <w:p>
            <w:pPr>
              <w:pStyle w:val="Compact"/>
            </w:pPr>
            <w:r>
              <w:t xml:space="preserve">$6.10 – $6.60</w:t>
            </w:r>
          </w:p>
        </w:tc>
      </w:tr>
      <w:tr>
        <w:tc>
          <w:tcPr/>
          <w:p>
            <w:pPr>
              <w:pStyle w:val="Compact"/>
            </w:pPr>
            <w:r>
              <w:rPr>
                <w:b/>
                <w:bCs/>
              </w:rPr>
              <w:t xml:space="preserve">Adjusted diluted EPS</w:t>
            </w:r>
          </w:p>
        </w:tc>
        <w:tc>
          <w:tcPr/>
          <w:p>
            <w:pPr>
              <w:pStyle w:val="Compact"/>
            </w:pPr>
            <w:r>
              <w:rPr>
                <w:b/>
                <w:bCs/>
              </w:rPr>
              <w:t xml:space="preserve">$7.50 – $8.00</w:t>
            </w:r>
          </w:p>
        </w:tc>
      </w:tr>
      <w:tr>
        <w:tc>
          <w:tcPr/>
          <w:p>
            <w:pPr>
              <w:pStyle w:val="Compact"/>
            </w:pPr>
            <w:r>
              <w:t xml:space="preserve">Operating cash flow</w:t>
            </w:r>
          </w:p>
        </w:tc>
        <w:tc>
          <w:tcPr/>
          <w:p>
            <w:pPr>
              <w:pStyle w:val="Compact"/>
            </w:pPr>
            <w:r>
              <w:t xml:space="preserve">$1.0B – $1.2B</w:t>
            </w:r>
          </w:p>
        </w:tc>
      </w:tr>
      <w:tr>
        <w:tc>
          <w:tcPr/>
          <w:p>
            <w:pPr>
              <w:pStyle w:val="Compact"/>
            </w:pPr>
            <w:r>
              <w:t xml:space="preserve">Free cash flow</w:t>
            </w:r>
          </w:p>
        </w:tc>
        <w:tc>
          <w:tcPr/>
          <w:p>
            <w:pPr>
              <w:pStyle w:val="Compact"/>
            </w:pPr>
            <w:r>
              <w:t xml:space="preserve">$550M – $700M</w:t>
            </w:r>
          </w:p>
        </w:tc>
      </w:tr>
    </w:tbl>
    <w:p>
      <w:pPr>
        <w:pStyle w:val="BodyText"/>
      </w:pPr>
      <w:r>
        <w:rPr>
          <w:b/>
          <w:bCs/>
        </w:rPr>
        <w:t xml:space="preserve">Context on the bar:</w:t>
      </w:r>
      <w:r>
        <w:t xml:space="preserve"> </w:t>
      </w:r>
      <w:r>
        <w:t xml:space="preserve">Recall that a year ago (July 2025), GPC</w:t>
      </w:r>
      <w:r>
        <w:t xml:space="preserve"> </w:t>
      </w:r>
      <w:r>
        <w:rPr>
          <w:i/>
          <w:iCs/>
        </w:rPr>
        <w:t xml:space="preserve">cut</w:t>
      </w:r>
      <w:r>
        <w:t xml:space="preserve"> </w:t>
      </w:r>
      <w:r>
        <w:t xml:space="preserve">its FY25 outlook (revenue growth to 1–3% from 2–4%; adj. EPS to</w:t>
      </w:r>
      <w:r>
        <w:t xml:space="preserve"> </w:t>
      </w:r>
      <m:oMath>
        <m:r>
          <m:t>7.50</m:t>
        </m:r>
        <m:r>
          <m:rPr>
            <m:sty m:val="p"/>
          </m:rPr>
          <m:t>–</m:t>
        </m:r>
      </m:oMath>
      <w:r>
        <w:t xml:space="preserve">8.00 from</w:t>
      </w:r>
      <w:r>
        <w:t xml:space="preserve"> </w:t>
      </w:r>
      <m:oMath>
        <m:r>
          <m:t>7.75</m:t>
        </m:r>
        <m:r>
          <m:rPr>
            <m:sty m:val="p"/>
          </m:rPr>
          <m:t>–</m:t>
        </m:r>
      </m:oMath>
      <w:r>
        <w:t xml:space="preserve">8.25), citing tariffs and a "more moderated improvement in market conditions." So the 2026 guide already embeds a recovery. With a separation and a live takeover bid in the mix, a simple reaffirmation would be viewed as clean; any</w:t>
      </w:r>
      <w:r>
        <w:t xml:space="preserve"> </w:t>
      </w:r>
      <w:r>
        <w:rPr>
          <w:i/>
          <w:iCs/>
        </w:rPr>
        <w:t xml:space="preserve">raise</w:t>
      </w:r>
      <w:r>
        <w:t xml:space="preserve"> </w:t>
      </w:r>
      <w:r>
        <w:t xml:space="preserve">on Industrial momentum would be a positive surprise; any trim would be poorly received given the elevated expectations baked into the stock post-O'Reilly.</w:t>
      </w:r>
    </w:p>
    <w:p>
      <w:r>
        <w:pict>
          <v:rect style="width:0;height:1.5pt" o:hralign="center" o:hrstd="t" o:hr="t"/>
        </w:pict>
      </w:r>
    </w:p>
    <w:bookmarkEnd w:id="11"/>
    <w:bookmarkStart w:id="12" w:name="X44d0bf8e222ac5473ac1be9c243c6bd34c64aec"/>
    <w:p>
      <w:pPr>
        <w:pStyle w:val="Heading2"/>
      </w:pPr>
      <w:r>
        <w:t xml:space="preserve">New segment structure — read the disclosures carefully</w:t>
      </w:r>
    </w:p>
    <w:p>
      <w:pPr>
        <w:pStyle w:val="FirstParagraph"/>
      </w:pPr>
      <w:r>
        <w:t xml:space="preserve">Starting in 2026, GPC reports</w:t>
      </w:r>
      <w:r>
        <w:t xml:space="preserve"> </w:t>
      </w:r>
      <w:r>
        <w:rPr>
          <w:b/>
          <w:bCs/>
        </w:rPr>
        <w:t xml:space="preserve">three</w:t>
      </w:r>
      <w:r>
        <w:t xml:space="preserve"> </w:t>
      </w:r>
      <w:r>
        <w:t xml:space="preserve">segments (previously two), which also previews the eventual separation. Q1 2026 marks:</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Segment (Q1'26)</w:t>
            </w:r>
          </w:p>
        </w:tc>
        <w:tc>
          <w:tcPr/>
          <w:p>
            <w:pPr>
              <w:pStyle w:val="Compact"/>
            </w:pPr>
            <w:r>
              <w:t xml:space="preserve">Sales</w:t>
            </w:r>
          </w:p>
        </w:tc>
        <w:tc>
          <w:tcPr/>
          <w:p>
            <w:pPr>
              <w:pStyle w:val="Compact"/>
            </w:pPr>
            <w:r>
              <w:t xml:space="preserve">Comp sales</w:t>
            </w:r>
          </w:p>
        </w:tc>
        <w:tc>
          <w:tcPr/>
          <w:p>
            <w:pPr>
              <w:pStyle w:val="Compact"/>
            </w:pPr>
            <w:r>
              <w:t xml:space="preserve">EBITDA margin</w:t>
            </w:r>
          </w:p>
        </w:tc>
        <w:tc>
          <w:tcPr/>
          <w:p>
            <w:pPr>
              <w:pStyle w:val="Compact"/>
            </w:pPr>
            <w:r>
              <w:t xml:space="preserve">YoY margin</w:t>
            </w:r>
          </w:p>
        </w:tc>
      </w:tr>
      <w:tr>
        <w:tc>
          <w:tcPr/>
          <w:p>
            <w:pPr>
              <w:pStyle w:val="Compact"/>
            </w:pPr>
            <w:r>
              <w:t xml:space="preserve">North America Automotive</w:t>
            </w:r>
          </w:p>
        </w:tc>
        <w:tc>
          <w:tcPr/>
          <w:p>
            <w:pPr>
              <w:pStyle w:val="Compact"/>
            </w:pPr>
            <w:r>
              <w:t xml:space="preserve">$2.36B</w:t>
            </w:r>
          </w:p>
        </w:tc>
        <w:tc>
          <w:tcPr/>
          <w:p>
            <w:pPr>
              <w:pStyle w:val="Compact"/>
            </w:pPr>
            <w:r>
              <w:t xml:space="preserve">+2.2%</w:t>
            </w:r>
          </w:p>
        </w:tc>
        <w:tc>
          <w:tcPr/>
          <w:p>
            <w:pPr>
              <w:pStyle w:val="Compact"/>
            </w:pPr>
            <w:r>
              <w:t xml:space="preserve">6.6%</w:t>
            </w:r>
          </w:p>
        </w:tc>
        <w:tc>
          <w:tcPr/>
          <w:p>
            <w:pPr>
              <w:pStyle w:val="Compact"/>
            </w:pPr>
            <w:r>
              <w:t xml:space="preserve">+10 bps</w:t>
            </w:r>
          </w:p>
        </w:tc>
      </w:tr>
      <w:tr>
        <w:tc>
          <w:tcPr/>
          <w:p>
            <w:pPr>
              <w:pStyle w:val="Compact"/>
            </w:pPr>
            <w:r>
              <w:t xml:space="preserve">International Automotive</w:t>
            </w:r>
          </w:p>
        </w:tc>
        <w:tc>
          <w:tcPr/>
          <w:p>
            <w:pPr>
              <w:pStyle w:val="Compact"/>
            </w:pPr>
            <w:r>
              <w:t xml:space="preserve">$1.59B</w:t>
            </w:r>
          </w:p>
        </w:tc>
        <w:tc>
          <w:tcPr/>
          <w:p>
            <w:pPr>
              <w:pStyle w:val="Compact"/>
            </w:pPr>
            <w:r>
              <w:t xml:space="preserve">+0.3%</w:t>
            </w:r>
          </w:p>
        </w:tc>
        <w:tc>
          <w:tcPr/>
          <w:p>
            <w:pPr>
              <w:pStyle w:val="Compact"/>
            </w:pPr>
            <w:r>
              <w:t xml:space="preserve">9.1%</w:t>
            </w:r>
          </w:p>
        </w:tc>
        <w:tc>
          <w:tcPr/>
          <w:p>
            <w:pPr>
              <w:pStyle w:val="Compact"/>
            </w:pPr>
            <w:r>
              <w:rPr>
                <w:b/>
                <w:bCs/>
              </w:rPr>
              <w:t xml:space="preserve">–80 bps</w:t>
            </w:r>
          </w:p>
        </w:tc>
      </w:tr>
      <w:tr>
        <w:tc>
          <w:tcPr/>
          <w:p>
            <w:pPr>
              <w:pStyle w:val="Compact"/>
            </w:pPr>
            <w:r>
              <w:t xml:space="preserve">Industrial</w:t>
            </w:r>
          </w:p>
        </w:tc>
        <w:tc>
          <w:tcPr/>
          <w:p>
            <w:pPr>
              <w:pStyle w:val="Compact"/>
            </w:pPr>
            <w:r>
              <w:t xml:space="preserve">$2.32B</w:t>
            </w:r>
          </w:p>
        </w:tc>
        <w:tc>
          <w:tcPr/>
          <w:p>
            <w:pPr>
              <w:pStyle w:val="Compact"/>
            </w:pPr>
            <w:r>
              <w:rPr>
                <w:b/>
                <w:bCs/>
              </w:rPr>
              <w:t xml:space="preserve">+3.9%</w:t>
            </w:r>
          </w:p>
        </w:tc>
        <w:tc>
          <w:tcPr/>
          <w:p>
            <w:pPr>
              <w:pStyle w:val="Compact"/>
            </w:pPr>
            <w:r>
              <w:t xml:space="preserve">13.6%</w:t>
            </w:r>
          </w:p>
        </w:tc>
        <w:tc>
          <w:tcPr/>
          <w:p>
            <w:pPr>
              <w:pStyle w:val="Compact"/>
            </w:pPr>
            <w:r>
              <w:rPr>
                <w:b/>
                <w:bCs/>
              </w:rPr>
              <w:t xml:space="preserve">+90 bps</w:t>
            </w:r>
          </w:p>
        </w:tc>
      </w:tr>
    </w:tbl>
    <w:p>
      <w:pPr>
        <w:pStyle w:val="BodyText"/>
      </w:pPr>
      <w:r>
        <w:rPr>
          <w:b/>
          <w:bCs/>
        </w:rPr>
        <w:t xml:space="preserve">Key reads for Q2:</w:t>
      </w:r>
    </w:p>
    <w:p>
      <w:pPr>
        <w:pStyle w:val="Compact"/>
        <w:numPr>
          <w:ilvl w:val="0"/>
          <w:numId w:val="1003"/>
        </w:numPr>
      </w:pPr>
      <w:r>
        <w:rPr>
          <w:b/>
          <w:bCs/>
        </w:rPr>
        <w:t xml:space="preserve">Industrial (Motion) is the bright spot</w:t>
      </w:r>
      <w:r>
        <w:t xml:space="preserve"> </w:t>
      </w:r>
      <w:r>
        <w:t xml:space="preserve">— accelerating comps and expanding margin in Q1. This is the "cleaner," higher-margin RemainCo. Watch whether the +3.9% Q1 comp momentum held; Industrial had been near-flat through mid-2025, so a second strong quarter would confirm an inflection.</w:t>
      </w:r>
    </w:p>
    <w:p>
      <w:pPr>
        <w:pStyle w:val="Compact"/>
        <w:numPr>
          <w:ilvl w:val="0"/>
          <w:numId w:val="1003"/>
        </w:numPr>
      </w:pPr>
      <w:r>
        <w:rPr>
          <w:b/>
          <w:bCs/>
        </w:rPr>
        <w:t xml:space="preserve">North America Automotive</w:t>
      </w:r>
      <w:r>
        <w:t xml:space="preserve"> </w:t>
      </w:r>
      <w:r>
        <w:t xml:space="preserve">— comps modestly positive but margins thin (~6.6%). This is the asset O'Reilly wants. Watch comp trends, DIFM demand, and any tariff-driven pricing/pass-through commentary.</w:t>
      </w:r>
    </w:p>
    <w:p>
      <w:pPr>
        <w:pStyle w:val="Compact"/>
        <w:numPr>
          <w:ilvl w:val="0"/>
          <w:numId w:val="1003"/>
        </w:numPr>
      </w:pPr>
      <w:r>
        <w:rPr>
          <w:b/>
          <w:bCs/>
        </w:rPr>
        <w:t xml:space="preserve">International Automotive margin erosion</w:t>
      </w:r>
      <w:r>
        <w:t xml:space="preserve"> </w:t>
      </w:r>
      <w:r>
        <w:t xml:space="preserve">(–80 bps in Q1) needs to stabilize; FX has been a big swing factor (a ~10%+ tailwind to reported int'l sales in Q1).</w:t>
      </w:r>
    </w:p>
    <w:p>
      <w:r>
        <w:pict>
          <v:rect style="width:0;height:1.5pt" o:hralign="center" o:hrstd="t" o:hr="t"/>
        </w:pict>
      </w:r>
    </w:p>
    <w:bookmarkEnd w:id="12"/>
    <w:bookmarkStart w:id="13" w:name="other-things-to-track"/>
    <w:p>
      <w:pPr>
        <w:pStyle w:val="Heading2"/>
      </w:pPr>
      <w:r>
        <w:t xml:space="preserve">Other things to track</w:t>
      </w:r>
    </w:p>
    <w:p>
      <w:pPr>
        <w:pStyle w:val="Compact"/>
        <w:numPr>
          <w:ilvl w:val="0"/>
          <w:numId w:val="1004"/>
        </w:numPr>
      </w:pPr>
      <w:r>
        <w:rPr>
          <w:b/>
          <w:bCs/>
        </w:rPr>
        <w:t xml:space="preserve">Tariffs &amp; pricing.</w:t>
      </w:r>
      <w:r>
        <w:t xml:space="preserve"> </w:t>
      </w:r>
      <w:r>
        <w:t xml:space="preserve">GPC's 2025 guidance cuts were explicitly tariff-driven. Look for updated commentary on tariff pass-through, gross margin, and inflation/deflation across both auto and industrial.</w:t>
      </w:r>
    </w:p>
    <w:p>
      <w:pPr>
        <w:pStyle w:val="Compact"/>
        <w:numPr>
          <w:ilvl w:val="0"/>
          <w:numId w:val="1004"/>
        </w:numPr>
      </w:pPr>
      <w:r>
        <w:rPr>
          <w:b/>
          <w:bCs/>
        </w:rPr>
        <w:t xml:space="preserve">Pension termination charge.</w:t>
      </w:r>
      <w:r>
        <w:t xml:space="preserve"> </w:t>
      </w:r>
      <w:r>
        <w:t xml:space="preserve">GPC has flagged a one-time, non-cash charge (accumulated actuarial losses were ~</w:t>
      </w:r>
      <m:oMath>
        <m:r>
          <m:t>735</m:t>
        </m:r>
        <m:r>
          <m:t>M</m:t>
        </m:r>
        <m:r>
          <m:rPr>
            <m:sty m:val="p"/>
          </m:rPr>
          <m:t>/</m:t>
        </m:r>
        <m:r>
          <m:t> </m:t>
        </m:r>
      </m:oMath>
      <w:r>
        <w:t xml:space="preserve">540M net of tax at YE'24) upon U.S. pension plan settlement, expected late 2025/early 2026. It's excluded from adjusted EPS but could hit GAAP EPS and is a housekeeping item ahead of the split. Check whether it landed in Q2.</w:t>
      </w:r>
    </w:p>
    <w:p>
      <w:pPr>
        <w:pStyle w:val="Compact"/>
        <w:numPr>
          <w:ilvl w:val="0"/>
          <w:numId w:val="1004"/>
        </w:numPr>
      </w:pPr>
      <w:r>
        <w:rPr>
          <w:b/>
          <w:bCs/>
        </w:rPr>
        <w:t xml:space="preserve">Restructuring &amp; separation costs.</w:t>
      </w:r>
      <w:r>
        <w:t xml:space="preserve"> </w:t>
      </w:r>
      <w:r>
        <w:t xml:space="preserve">Q1 carried $58M restructuring +</w:t>
      </w:r>
      <w:r>
        <w:t xml:space="preserve"> </w:t>
      </w:r>
      <w:r>
        <w:t xml:space="preserve">$18M separation costs. These "adjustments" are now sizable ($</w:t>
      </w:r>
      <w:r>
        <w:t xml:space="preserve">0.55/share in Q1) — the gap between GAAP (</w:t>
      </w:r>
      <m:oMath>
        <m:r>
          <m:t>1.37</m:t>
        </m:r>
        <m:r>
          <m:rPr>
            <m:sty m:val="p"/>
          </m:rPr>
          <m:t>)</m:t>
        </m:r>
        <m:r>
          <m:t>a</m:t>
        </m:r>
        <m:r>
          <m:t>n</m:t>
        </m:r>
        <m:r>
          <m:t>d</m:t>
        </m:r>
        <m:r>
          <m:t>a</m:t>
        </m:r>
        <m:r>
          <m:t>d</m:t>
        </m:r>
        <m:r>
          <m:t>j</m:t>
        </m:r>
        <m:r>
          <m:t>u</m:t>
        </m:r>
        <m:r>
          <m:t>s</m:t>
        </m:r>
        <m:r>
          <m:t>t</m:t>
        </m:r>
        <m:r>
          <m:t>e</m:t>
        </m:r>
        <m:r>
          <m:t>d</m:t>
        </m:r>
        <m:r>
          <m:rPr>
            <m:sty m:val="p"/>
          </m:rPr>
          <m:t>(</m:t>
        </m:r>
      </m:oMath>
      <w:r>
        <w:t xml:space="preserve">1.77) EPS is wide and widening as separation spend ramps.</w:t>
      </w:r>
    </w:p>
    <w:p>
      <w:pPr>
        <w:pStyle w:val="Compact"/>
        <w:numPr>
          <w:ilvl w:val="0"/>
          <w:numId w:val="1004"/>
        </w:numPr>
      </w:pPr>
      <w:r>
        <w:rPr>
          <w:b/>
          <w:bCs/>
        </w:rPr>
        <w:t xml:space="preserve">Free cash flow &amp; balance sheet.</w:t>
      </w:r>
      <w:r>
        <w:t xml:space="preserve"> </w:t>
      </w:r>
      <w:r>
        <w:t xml:space="preserve">FCF was a seasonal deficit through 1H; the full-year</w:t>
      </w:r>
      <w:r>
        <w:t xml:space="preserve"> </w:t>
      </w:r>
      <m:oMath>
        <m:r>
          <m:t>550</m:t>
        </m:r>
        <m:r>
          <m:rPr>
            <m:sty m:val="p"/>
          </m:rPr>
          <m:t>–</m:t>
        </m:r>
        <m:r>
          <m:t>700</m:t>
        </m:r>
        <m:r>
          <m:t>M</m:t>
        </m:r>
        <m:r>
          <m:t>g</m:t>
        </m:r>
        <m:r>
          <m:t>u</m:t>
        </m:r>
        <m:r>
          <m:t>i</m:t>
        </m:r>
        <m:r>
          <m:t>d</m:t>
        </m:r>
        <m:r>
          <m:t>e</m:t>
        </m:r>
        <m:r>
          <m:t>r</m:t>
        </m:r>
        <m:r>
          <m:t>e</m:t>
        </m:r>
        <m:r>
          <m:t>q</m:t>
        </m:r>
        <m:r>
          <m:t>u</m:t>
        </m:r>
        <m:r>
          <m:t>i</m:t>
        </m:r>
        <m:r>
          <m:t>r</m:t>
        </m:r>
        <m:r>
          <m:t>e</m:t>
        </m:r>
        <m:r>
          <m:t>s</m:t>
        </m:r>
        <m:r>
          <m:t>a</m:t>
        </m:r>
        <m:r>
          <m:t>s</m:t>
        </m:r>
        <m:r>
          <m:t>t</m:t>
        </m:r>
        <m:r>
          <m:t>r</m:t>
        </m:r>
        <m:r>
          <m:t>o</m:t>
        </m:r>
        <m:r>
          <m:t>n</m:t>
        </m:r>
        <m:r>
          <m:t>g</m:t>
        </m:r>
        <m:r>
          <m:t>2</m:t>
        </m:r>
        <m:r>
          <m:t>H</m:t>
        </m:r>
        <m:r>
          <m:rPr>
            <m:sty m:val="p"/>
          </m:rPr>
          <m:t>.</m:t>
        </m:r>
        <m:r>
          <m:t>L</m:t>
        </m:r>
        <m:r>
          <m:t>e</m:t>
        </m:r>
        <m:r>
          <m:t>v</m:t>
        </m:r>
        <m:r>
          <m:t>e</m:t>
        </m:r>
        <m:r>
          <m:t>r</m:t>
        </m:r>
        <m:r>
          <m:t>a</m:t>
        </m:r>
        <m:r>
          <m:t>g</m:t>
        </m:r>
        <m:r>
          <m:t>e</m:t>
        </m:r>
        <m:r>
          <m:t>m</m:t>
        </m:r>
        <m:r>
          <m:t>a</m:t>
        </m:r>
        <m:r>
          <m:t>t</m:t>
        </m:r>
        <m:r>
          <m:t>t</m:t>
        </m:r>
        <m:r>
          <m:t>e</m:t>
        </m:r>
        <m:r>
          <m:t>r</m:t>
        </m:r>
        <m:r>
          <m:t>s</m:t>
        </m:r>
        <m:r>
          <m:rPr>
            <m:sty m:val="p"/>
          </m:rPr>
          <m:t>:</m:t>
        </m:r>
        <m:r>
          <m:t>s</m:t>
        </m:r>
        <m:r>
          <m:t>h</m:t>
        </m:r>
        <m:r>
          <m:t>o</m:t>
        </m:r>
        <m:r>
          <m:t>r</m:t>
        </m:r>
        <m:r>
          <m:t>t</m:t>
        </m:r>
        <m:r>
          <m:rPr>
            <m:sty m:val="p"/>
          </m:rPr>
          <m:t>−</m:t>
        </m:r>
        <m:r>
          <m:t>t</m:t>
        </m:r>
        <m:r>
          <m:t>e</m:t>
        </m:r>
        <m:r>
          <m:t>r</m:t>
        </m:r>
        <m:r>
          <m:t>m</m:t>
        </m:r>
        <m:r>
          <m:t>b</m:t>
        </m:r>
        <m:r>
          <m:t>o</m:t>
        </m:r>
        <m:r>
          <m:t>r</m:t>
        </m:r>
        <m:r>
          <m:t>r</m:t>
        </m:r>
        <m:r>
          <m:t>o</m:t>
        </m:r>
        <m:r>
          <m:t>w</m:t>
        </m:r>
        <m:r>
          <m:t>i</m:t>
        </m:r>
        <m:r>
          <m:t>n</m:t>
        </m:r>
        <m:r>
          <m:t>g</m:t>
        </m:r>
        <m:r>
          <m:t>s</m:t>
        </m:r>
        <m:r>
          <m:rPr>
            <m:sty m:val="p"/>
          </m:rPr>
          <m:t>/</m:t>
        </m:r>
        <m:r>
          <m:t>C</m:t>
        </m:r>
        <m:r>
          <m:t>P</m:t>
        </m:r>
        <m:r>
          <m:t>r</m:t>
        </m:r>
        <m:r>
          <m:t>o</m:t>
        </m:r>
        <m:r>
          <m:t>s</m:t>
        </m:r>
        <m:r>
          <m:t>e</m:t>
        </m:r>
        <m:r>
          <m:t>t</m:t>
        </m:r>
        <m:r>
          <m:t>o</m:t>
        </m:r>
        <m:r>
          <m:t> </m:t>
        </m:r>
      </m:oMath>
      <w:r>
        <w:t xml:space="preserve">1.16B and the company has been drawing on its revolver. A NAPA sale for ~$10B cash would dramatically deleverage RemainCo — another reason the "use of proceeds" question looms large.</w:t>
      </w:r>
    </w:p>
    <w:p>
      <w:pPr>
        <w:pStyle w:val="Compact"/>
        <w:numPr>
          <w:ilvl w:val="0"/>
          <w:numId w:val="1004"/>
        </w:numPr>
      </w:pPr>
      <w:r>
        <w:rPr>
          <w:b/>
          <w:bCs/>
        </w:rPr>
        <w:t xml:space="preserve">Dividend.</w:t>
      </w:r>
      <w:r>
        <w:t xml:space="preserve"> </w:t>
      </w:r>
      <w:r>
        <w:t xml:space="preserve">GPC is a dividend aristocrat (raised to $1.0625/quarter in 2026). How the payout splits across two entities post-separation is a recurring investor concern.</w:t>
      </w:r>
    </w:p>
    <w:p>
      <w:r>
        <w:pict>
          <v:rect style="width:0;height:1.5pt" o:hralign="center" o:hrstd="t" o:hr="t"/>
        </w:pict>
      </w:r>
    </w:p>
    <w:bookmarkEnd w:id="13"/>
    <w:bookmarkStart w:id="14" w:name="setup--sentiment"/>
    <w:p>
      <w:pPr>
        <w:pStyle w:val="Heading2"/>
      </w:pPr>
      <w:r>
        <w:t xml:space="preserve">Setup / sentiment</w:t>
      </w:r>
    </w:p>
    <w:p>
      <w:pPr>
        <w:pStyle w:val="Compact"/>
        <w:numPr>
          <w:ilvl w:val="0"/>
          <w:numId w:val="1005"/>
        </w:numPr>
      </w:pPr>
      <w:r>
        <w:t xml:space="preserve">The stock fell</w:t>
      </w:r>
      <w:r>
        <w:t xml:space="preserve"> </w:t>
      </w:r>
      <w:r>
        <w:rPr>
          <w:b/>
          <w:bCs/>
        </w:rPr>
        <w:t xml:space="preserve">~15% on the Feb 17 separation + guidance announcement</w:t>
      </w:r>
      <w:r>
        <w:t xml:space="preserve">, bottomed near **</w:t>
      </w:r>
      <m:oMath>
        <m:r>
          <m:t>93</m:t>
        </m:r>
        <m:r>
          <m:t>i</m:t>
        </m:r>
        <m:r>
          <m:t>n</m:t>
        </m:r>
        <m:r>
          <m:t>m</m:t>
        </m:r>
        <m:r>
          <m:t>i</m:t>
        </m:r>
        <m:r>
          <m:t>d</m:t>
        </m:r>
        <m:r>
          <m:rPr>
            <m:sty m:val="p"/>
          </m:rPr>
          <m:t>−</m:t>
        </m:r>
        <m:r>
          <m:t>M</m:t>
        </m:r>
        <m:r>
          <m:t>a</m:t>
        </m:r>
        <m:r>
          <m:t>y</m:t>
        </m:r>
        <m:r>
          <m:rPr>
            <m:sty m:val="p"/>
          </m:rPr>
          <m:t>*</m:t>
        </m:r>
        <m:r>
          <m:rPr>
            <m:sty m:val="p"/>
          </m:rPr>
          <m:t>*</m:t>
        </m:r>
        <m:r>
          <m:rPr>
            <m:sty m:val="p"/>
          </m:rPr>
          <m:t>,</m:t>
        </m:r>
        <m:r>
          <m:t>t</m:t>
        </m:r>
        <m:r>
          <m:t>h</m:t>
        </m:r>
        <m:r>
          <m:t>e</m:t>
        </m:r>
        <m:r>
          <m:t>n</m:t>
        </m:r>
        <m:r>
          <m:t>r</m:t>
        </m:r>
        <m:r>
          <m:t>a</m:t>
        </m:r>
        <m:r>
          <m:t>l</m:t>
        </m:r>
        <m:r>
          <m:t>l</m:t>
        </m:r>
        <m:r>
          <m:t>i</m:t>
        </m:r>
        <m:r>
          <m:t>e</m:t>
        </m:r>
        <m:r>
          <m:t>d</m:t>
        </m:r>
        <m:r>
          <m:t>h</m:t>
        </m:r>
        <m:r>
          <m:t>a</m:t>
        </m:r>
        <m:r>
          <m:t>r</m:t>
        </m:r>
        <m:r>
          <m:t>d</m:t>
        </m:r>
        <m:r>
          <m:rPr>
            <m:sty m:val="p"/>
          </m:rPr>
          <m:t>—</m:t>
        </m:r>
        <m:r>
          <m:t>i</m:t>
        </m:r>
        <m:r>
          <m:t>n</m:t>
        </m:r>
        <m:r>
          <m:t>c</m:t>
        </m:r>
        <m:r>
          <m:t>l</m:t>
        </m:r>
        <m:r>
          <m:t>u</m:t>
        </m:r>
        <m:r>
          <m:t>d</m:t>
        </m:r>
        <m:r>
          <m:t>i</m:t>
        </m:r>
        <m:r>
          <m:t>n</m:t>
        </m:r>
        <m:r>
          <m:t>g</m:t>
        </m:r>
        <m:r>
          <m:t>t</m:t>
        </m:r>
        <m:r>
          <m:t>h</m:t>
        </m:r>
        <m:r>
          <m:t>e</m:t>
        </m:r>
        <m:r>
          <m:rPr>
            <m:sty m:val="p"/>
          </m:rPr>
          <m:t>*</m:t>
        </m:r>
        <m:r>
          <m:rPr>
            <m:sty m:val="p"/>
          </m:rPr>
          <m:t>*</m:t>
        </m:r>
        <m:r>
          <m:t> </m:t>
        </m:r>
        <m:r>
          <m:t>13</m:t>
        </m:r>
      </m:oMath>
      <w:r>
        <w:t xml:space="preserve">122, about</w:t>
      </w:r>
      <w:r>
        <w:t xml:space="preserve"> </w:t>
      </w:r>
      <w:r>
        <w:rPr>
          <w:b/>
          <w:bCs/>
        </w:rPr>
        <w:t xml:space="preserve">8% below</w:t>
      </w:r>
      <w:r>
        <w:t xml:space="preserve"> </w:t>
      </w:r>
      <w:r>
        <w:t xml:space="preserve">the post-bid high.</w:t>
      </w:r>
    </w:p>
    <w:p>
      <w:pPr>
        <w:pStyle w:val="Compact"/>
        <w:numPr>
          <w:ilvl w:val="0"/>
          <w:numId w:val="1005"/>
        </w:numPr>
      </w:pPr>
      <w:r>
        <w:t xml:space="preserve">That price action means the market is</w:t>
      </w:r>
      <w:r>
        <w:t xml:space="preserve"> </w:t>
      </w:r>
      <w:r>
        <w:rPr>
          <w:b/>
          <w:bCs/>
        </w:rPr>
        <w:t xml:space="preserve">partially pricing a deal</w:t>
      </w:r>
      <w:r>
        <w:t xml:space="preserve">. The risk is asymmetric around</w:t>
      </w:r>
      <w:r>
        <w:t xml:space="preserve"> </w:t>
      </w:r>
      <w:r>
        <w:rPr>
          <w:i/>
          <w:iCs/>
        </w:rPr>
        <w:t xml:space="preserve">tone</w:t>
      </w:r>
      <w:r>
        <w:t xml:space="preserve">: strong Industrial results + constructive M&amp;A language could re-accelerate the move; a "we remain committed to the separation, no comment on rumors" combined with any guidance softness could give back the deal premium.</w:t>
      </w:r>
    </w:p>
    <w:p>
      <w:pPr>
        <w:pStyle w:val="Compact"/>
        <w:numPr>
          <w:ilvl w:val="0"/>
          <w:numId w:val="1005"/>
        </w:numPr>
      </w:pPr>
      <w:r>
        <w:t xml:space="preserve">Peers for context (7/20 closes): AZO ~</w:t>
      </w:r>
      <m:oMath>
        <m:r>
          <m:t>2</m:t>
        </m:r>
        <m:r>
          <m:rPr>
            <m:sty m:val="p"/>
          </m:rPr>
          <m:t>,</m:t>
        </m:r>
        <m:r>
          <m:t>994</m:t>
        </m:r>
        <m:r>
          <m:rPr>
            <m:sty m:val="p"/>
          </m:rPr>
          <m:t>,</m:t>
        </m:r>
        <m:r>
          <m:t>O</m:t>
        </m:r>
        <m:r>
          <m:t>R</m:t>
        </m:r>
        <m:r>
          <m:t>L</m:t>
        </m:r>
        <m:r>
          <m:t>Y</m:t>
        </m:r>
        <m:r>
          <m:t> </m:t>
        </m:r>
      </m:oMath>
      <w:r>
        <w:t xml:space="preserve">84.55, AAP ~$52.06 — the auto-parts complex has been choppy, and ORLY itself sold off on the bid report (deal/integration risk).</w:t>
      </w:r>
    </w:p>
    <w:p>
      <w:r>
        <w:pict>
          <v:rect style="width:0;height:1.5pt" o:hralign="center" o:hrstd="t" o:hr="t"/>
        </w:pict>
      </w:r>
    </w:p>
    <w:bookmarkEnd w:id="14"/>
    <w:bookmarkStart w:id="15" w:name="bottom-line"/>
    <w:p>
      <w:pPr>
        <w:pStyle w:val="Heading2"/>
      </w:pPr>
      <w:r>
        <w:t xml:space="preserve">Bottom line</w:t>
      </w:r>
    </w:p>
    <w:p>
      <w:pPr>
        <w:pStyle w:val="FirstParagraph"/>
      </w:pPr>
      <w:r>
        <w:t xml:space="preserve">Fundamentally, expect a</w:t>
      </w:r>
      <w:r>
        <w:t xml:space="preserve"> </w:t>
      </w:r>
      <w:r>
        <w:rPr>
          <w:b/>
          <w:bCs/>
        </w:rPr>
        <w:t xml:space="preserve">roughly in-line quarter</w:t>
      </w:r>
      <w:r>
        <w:t xml:space="preserve"> </w:t>
      </w:r>
      <w:r>
        <w:t xml:space="preserve">— ~</w:t>
      </w:r>
      <m:oMath>
        <m:r>
          <m:t>2.10</m:t>
        </m:r>
        <m:r>
          <m:t>a</m:t>
        </m:r>
        <m:r>
          <m:t>d</m:t>
        </m:r>
        <m:r>
          <m:t>j</m:t>
        </m:r>
        <m:r>
          <m:t>u</m:t>
        </m:r>
        <m:r>
          <m:t>s</m:t>
        </m:r>
        <m:r>
          <m:t>t</m:t>
        </m:r>
        <m:r>
          <m:t>e</m:t>
        </m:r>
        <m:r>
          <m:t>d</m:t>
        </m:r>
        <m:r>
          <m:t>E</m:t>
        </m:r>
        <m:r>
          <m:t>P</m:t>
        </m:r>
        <m:r>
          <m:t>S</m:t>
        </m:r>
        <m:r>
          <m:t>o</m:t>
        </m:r>
        <m:r>
          <m:t>n</m:t>
        </m:r>
        <m:r>
          <m:t> </m:t>
        </m:r>
      </m:oMath>
      <w:r>
        <w:t xml:space="preserve">6.4B revenue, led by</w:t>
      </w:r>
      <w:r>
        <w:t xml:space="preserve"> </w:t>
      </w:r>
      <w:r>
        <w:rPr>
          <w:b/>
          <w:bCs/>
        </w:rPr>
        <w:t xml:space="preserve">Industrial strength</w:t>
      </w:r>
      <w:r>
        <w:t xml:space="preserve"> </w:t>
      </w:r>
      <w:r>
        <w:t xml:space="preserve">and</w:t>
      </w:r>
      <w:r>
        <w:t xml:space="preserve"> </w:t>
      </w:r>
      <w:r>
        <w:rPr>
          <w:b/>
          <w:bCs/>
        </w:rPr>
        <w:t xml:space="preserve">thin auto margins</w:t>
      </w:r>
      <w:r>
        <w:t xml:space="preserve">, with guidance most likely</w:t>
      </w:r>
      <w:r>
        <w:t xml:space="preserve"> </w:t>
      </w:r>
      <w:r>
        <w:rPr>
          <w:b/>
          <w:bCs/>
        </w:rPr>
        <w:t xml:space="preserve">reaffirmed</w:t>
      </w:r>
      <w:r>
        <w:t xml:space="preserve">. But the read-through that will move the stock is</w:t>
      </w:r>
      <w:r>
        <w:t xml:space="preserve"> </w:t>
      </w:r>
      <w:r>
        <w:rPr>
          <w:b/>
          <w:bCs/>
        </w:rPr>
        <w:t xml:space="preserve">strategic</w:t>
      </w:r>
      <w:r>
        <w:t xml:space="preserve">: (1) is the Q1 2027 separation still the base case, or is a NAPA sale to O'Reilly now on the table; (2) how does management characterize antitrust/structure risk; and (3) what happens to leverage, the dividend, and capital return under either path. Position for the commentary, not the print.</w:t>
      </w:r>
    </w:p>
    <w:p>
      <w:pPr>
        <w:pStyle w:val="BodyText"/>
      </w:pPr>
      <w:r>
        <w:rPr>
          <w:i/>
          <w:iCs/>
        </w:rPr>
        <w:t xml:space="preserve">Note: figures above are drawn from GPC's Q1 2026 and Q2 2025 earnings releases; consensus estimates and the O'Reilly bid details are from Yahoo Finance/Zacks and Bloomberg/Barron's reporting, respectively, and are unconfirmed by the company.</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2026-07-21T00:31:46Z</dcterms:created>
  <dcterms:modified xsi:type="dcterms:W3CDTF">2026-07-21T00:31:46Z</dcterms:modified>
</cp:coreProperties>
</file>

<file path=docProps/custom.xml><?xml version="1.0" encoding="utf-8"?>
<Properties xmlns="http://schemas.openxmlformats.org/officeDocument/2006/custom-properties" xmlns:vt="http://schemas.openxmlformats.org/officeDocument/2006/docPropsVTypes"/>
</file>