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solid data. Let me pull one more thing — recent Zacks/Simply Wall St context on the "positive Earnings ESP" and any info on FTC/regulatory concerns, plus dividend/Aristocrat status, to round out the preview.# Genuine Parts Company (GPC) — Q2 2026 Earnings Preview</w:t>
      </w:r>
      <w:r>
        <w:t xml:space="preserve"> </w:t>
      </w:r>
      <w:r>
        <w:rPr>
          <w:b/>
          <w:bCs/>
        </w:rPr>
        <w:t xml:space="preserve">Report Date:</w:t>
      </w:r>
      <w:r>
        <w:t xml:space="preserve"> </w:t>
      </w:r>
      <w:r>
        <w:t xml:space="preserve">Tuesday, July 21, 2026, before market open | Conference call 8:30 a.m. ET</w:t>
      </w:r>
    </w:p>
    <w:p>
      <w:r>
        <w:pict>
          <v:rect style="width:0;height:1.5pt" o:hralign="center" o:hrstd="t" o:hr="t"/>
        </w:pict>
      </w:r>
    </w:p>
    <w:bookmarkStart w:id="9" w:name="Xe9c1145ea9a8b57a7f6820a92a5c49715c2e9dd"/>
    <w:p>
      <w:pPr>
        <w:pStyle w:val="Heading2"/>
      </w:pPr>
      <w:r>
        <w:t xml:space="preserve">1. The Setup: This Is Not a Normal Earnings Print</w:t>
      </w:r>
    </w:p>
    <w:p>
      <w:pPr>
        <w:pStyle w:val="FirstParagraph"/>
      </w:pPr>
      <w:r>
        <w:t xml:space="preserve">GPC's Q2 report lands in the middle of the biggest strategic event in the company's recent history. In February 2026, GPC announced plans to split into two independent public companies — a pure-play Global Automotive (NAPA) business and a Global Industrial (Motion) business — targeted for completion in Q1 2027. That process alone would have made this the most closely watched GPC print in years. It got more interesting on July 2, when Bloomberg reported that</w:t>
      </w:r>
      <w:r>
        <w:t xml:space="preserve"> </w:t>
      </w:r>
      <w:r>
        <w:rPr>
          <w:b/>
          <w:bCs/>
        </w:rPr>
        <w:t xml:space="preserve">O'Reilly Automotive has submitted a cash bid of roughly $10 billion or more for GPC's automotive/NAPA unit</w:t>
      </w:r>
      <w:r>
        <w:t xml:space="preserve">, a deal that would be O'Reilly's largest acquisition since CSK Auto in 2008. GPC shares spiked as much as 13% on the news before giving back most of the gain as regulatory and structural questions surfaced — shares closed at $132.57 on July 2 and have since drifted back to roughly $122 as of July 20, still up versus pre-news levels but well off the spike high.</w:t>
      </w:r>
    </w:p>
    <w:p>
      <w:pPr>
        <w:pStyle w:val="BodyText"/>
      </w:pPr>
      <w:r>
        <w:t xml:space="preserve">Reports suggest</w:t>
      </w:r>
      <w:r>
        <w:t xml:space="preserve"> </w:t>
      </w:r>
      <w:r>
        <w:rPr>
          <w:b/>
          <w:bCs/>
        </w:rPr>
        <w:t xml:space="preserve">a decision — sale, retained spin-off, or another outcome — could come by the end of summer</w:t>
      </w:r>
      <w:r>
        <w:t xml:space="preserve">, meaning tomorrow's call is as much about "what happens to NAPA" as it is about the quarterly numbers themselves.</w:t>
      </w:r>
    </w:p>
    <w:bookmarkEnd w:id="9"/>
    <w:bookmarkStart w:id="10" w:name="X981deddc1a848b387888e6bcfbd423f5e538375"/>
    <w:p>
      <w:pPr>
        <w:pStyle w:val="Heading2"/>
      </w:pPr>
      <w:r>
        <w:t xml:space="preserve">2. What Wall Street Expects</w:t>
      </w:r>
    </w:p>
    <w:p>
      <w:pPr>
        <w:pStyle w:val="Compact"/>
        <w:numPr>
          <w:ilvl w:val="0"/>
          <w:numId w:val="1001"/>
        </w:numPr>
      </w:pPr>
      <w:r>
        <w:rPr>
          <w:b/>
          <w:bCs/>
        </w:rPr>
        <w:t xml:space="preserve">Consensus EPS:</w:t>
      </w:r>
      <w:r>
        <w:t xml:space="preserve"> </w:t>
      </w:r>
      <w:r>
        <w:t xml:space="preserve">$2.10, flat versus the $2.10 GPC earned in Q2 2025.</w:t>
      </w:r>
    </w:p>
    <w:p>
      <w:pPr>
        <w:pStyle w:val="Compact"/>
        <w:numPr>
          <w:ilvl w:val="0"/>
          <w:numId w:val="1001"/>
        </w:numPr>
      </w:pPr>
      <w:r>
        <w:rPr>
          <w:b/>
          <w:bCs/>
        </w:rPr>
        <w:t xml:space="preserve">Consensus revenue:</w:t>
      </w:r>
      <w:r>
        <w:t xml:space="preserve"> </w:t>
      </w:r>
      <w:r>
        <w:t xml:space="preserve">~$6.39 billion, up about 3.6% year-over-year.</w:t>
      </w:r>
    </w:p>
    <w:p>
      <w:pPr>
        <w:pStyle w:val="Compact"/>
        <w:numPr>
          <w:ilvl w:val="0"/>
          <w:numId w:val="1001"/>
        </w:numPr>
      </w:pPr>
      <w:r>
        <w:t xml:space="preserve">GPC has beaten EPS estimates only once in the last four quarters, but it topped both revenue and EPS estimates last quarter (Q1: $6.26B revenue vs. $6.18B expected; $1.77 adjusted EPS vs. $1.75 expected), and Zacks currently flags a positive Earnings ESP alongside a favorable rank heading into the print.</w:t>
      </w:r>
    </w:p>
    <w:p>
      <w:pPr>
        <w:pStyle w:val="Compact"/>
        <w:numPr>
          <w:ilvl w:val="0"/>
          <w:numId w:val="1001"/>
        </w:numPr>
      </w:pPr>
      <w:r>
        <w:t xml:space="preserve">Full-year 2026 guidance, reaffirmed in April, calls for total sales growth of 3%–5.5%, GAAP diluted EPS of</w:t>
      </w:r>
      <w:r>
        <w:t xml:space="preserve"> </w:t>
      </w:r>
      <m:oMath>
        <m:r>
          <m:t>6.10</m:t>
        </m:r>
        <m:r>
          <m:rPr>
            <m:sty m:val="p"/>
          </m:rPr>
          <m:t>–</m:t>
        </m:r>
      </m:oMath>
      <w:r>
        <w:t xml:space="preserve">6.60, and</w:t>
      </w:r>
      <w:r>
        <w:t xml:space="preserve"> </w:t>
      </w:r>
      <w:r>
        <w:rPr>
          <w:b/>
          <w:bCs/>
        </w:rPr>
        <w:t xml:space="preserve">adjusted diluted EPS of</w:t>
      </w:r>
      <w:r>
        <w:rPr>
          <w:b/>
          <w:bCs/>
        </w:rPr>
        <w:t xml:space="preserve"> </w:t>
      </w:r>
      <m:oMath>
        <m:r>
          <m:t>7.50</m:t>
        </m:r>
        <m:r>
          <m:rPr>
            <m:sty m:val="p"/>
          </m:rPr>
          <m:t>–</m:t>
        </m:r>
      </m:oMath>
      <w:r>
        <w:rPr>
          <w:b/>
          <w:bCs/>
        </w:rPr>
        <w:t xml:space="preserve">8.00</w:t>
      </w:r>
      <w:r>
        <w:t xml:space="preserve"> </w:t>
      </w:r>
      <w:r>
        <w:t xml:space="preserve">(up ~5% at the midpoint versus 2025), with 40–60 bps of gross margin expansion for the year.</w:t>
      </w:r>
    </w:p>
    <w:bookmarkEnd w:id="10"/>
    <w:bookmarkStart w:id="11" w:name="X5de6a5b873401259da4c7d2e93e30424f30320d"/>
    <w:p>
      <w:pPr>
        <w:pStyle w:val="Heading2"/>
      </w:pPr>
      <w:r>
        <w:t xml:space="preserve">3. What Drove Q1 — And What to Watch For Continuation</w:t>
      </w:r>
    </w:p>
    <w:p>
      <w:pPr>
        <w:pStyle w:val="FirstParagraph"/>
      </w:pPr>
      <w:r>
        <w:t xml:space="preserve">Q1 2026 total sales rose ~7% to $6.3 billion, with sequential improvement in all three segments and continued gross margin expansion (37.3%, +20 bps) despite tough comps. Segment highlights to track for follow-through in Q2:</w:t>
      </w:r>
    </w:p>
    <w:p>
      <w:pPr>
        <w:pStyle w:val="Compact"/>
        <w:numPr>
          <w:ilvl w:val="0"/>
          <w:numId w:val="1002"/>
        </w:numPr>
      </w:pPr>
      <w:r>
        <w:rPr>
          <w:b/>
          <w:bCs/>
        </w:rPr>
        <w:t xml:space="preserve">Industrial (Motion):</w:t>
      </w:r>
      <w:r>
        <w:t xml:space="preserve"> </w:t>
      </w:r>
      <w:r>
        <w:t xml:space="preserve">The standout segment — Q1 sales of $2.3 billion (+5%), comparable sales +4%, and EBITDA margin of 13.6% (+90 bps y/y), helped by MRO strength and 10 of 14 tracked end-markets growing versus just 3 a year ago. Management struck a "cautiously optimistic" tone, pointing to PMI readings above 50.</w:t>
      </w:r>
    </w:p>
    <w:p>
      <w:pPr>
        <w:pStyle w:val="Compact"/>
        <w:numPr>
          <w:ilvl w:val="0"/>
          <w:numId w:val="1002"/>
        </w:numPr>
      </w:pPr>
      <w:r>
        <w:rPr>
          <w:b/>
          <w:bCs/>
        </w:rPr>
        <w:t xml:space="preserve">North America Automotive:</w:t>
      </w:r>
      <w:r>
        <w:t xml:space="preserve"> </w:t>
      </w:r>
      <w:r>
        <w:t xml:space="preserve">Sequential improvement continued — Q1 total sales +4.5%, comparable sales +2%, EBITDA margin 6.6% (+10 bps y/y, +110 bps vs. Q4). Company-owned stores (+5.5% comps) continue to outperform independent NAPA owners (+1%). Watch whether this gap narrows given management's comments about "reimagining" support for independents (financing, inventory terms).</w:t>
      </w:r>
    </w:p>
    <w:p>
      <w:pPr>
        <w:pStyle w:val="Compact"/>
        <w:numPr>
          <w:ilvl w:val="0"/>
          <w:numId w:val="1002"/>
        </w:numPr>
      </w:pPr>
      <w:r>
        <w:rPr>
          <w:b/>
          <w:bCs/>
        </w:rPr>
        <w:t xml:space="preserve">International Automotive:</w:t>
      </w:r>
      <w:r>
        <w:t xml:space="preserve"> </w:t>
      </w:r>
      <w:r>
        <w:t xml:space="preserve">Sales +13% (largely FX-driven), EBITDA margin fell 80 bps to 9.1% on wage/rent/freight inflation, partially offset by restructuring savings. Europe showed sequential improvement but remains soft; Asia-Pacific (notably Australia) has been pressured by Middle East-linked fuel costs and rate hikes.</w:t>
      </w:r>
    </w:p>
    <w:bookmarkEnd w:id="11"/>
    <w:bookmarkStart w:id="12" w:name="Xf09065af0016d7393d04c57f3f3dbe7a1c396fe"/>
    <w:p>
      <w:pPr>
        <w:pStyle w:val="Heading2"/>
      </w:pPr>
      <w:r>
        <w:t xml:space="preserve">4. The Iran Conflict Overhang</w:t>
      </w:r>
    </w:p>
    <w:p>
      <w:pPr>
        <w:pStyle w:val="FirstParagraph"/>
      </w:pPr>
      <w:r>
        <w:t xml:space="preserve">Management's Q1 call was dominated by discussion of the Middle East conflict's financial impact. GPC guided to a</w:t>
      </w:r>
      <w:r>
        <w:t xml:space="preserve"> </w:t>
      </w:r>
      <w:r>
        <w:rPr>
          <w:b/>
          <w:bCs/>
        </w:rPr>
        <w:t xml:space="preserve">net $10–20 million EBITDA headwind in Q2</w:t>
      </w:r>
      <w:r>
        <w:t xml:space="preserve">, driven by higher freight/fuel costs and muted demand, partially offset by pricing. Management said less than 0.5% of total purchases are sourced directly from the Middle East, and that April started "steady," informing the downside risk baked into guidance. Investors should listen for whether this headwind came in as expected, worsened, or proved manageable — and whether oil-price volatility has continued to complicate planning.</w:t>
      </w:r>
    </w:p>
    <w:bookmarkEnd w:id="12"/>
    <w:bookmarkStart w:id="13" w:name="X9b4efd1d1c1c2e12269c59fd6f7ec49adda7b7e"/>
    <w:p>
      <w:pPr>
        <w:pStyle w:val="Heading2"/>
      </w:pPr>
      <w:r>
        <w:t xml:space="preserve">5. Tariffs and Pricing</w:t>
      </w:r>
    </w:p>
    <w:p>
      <w:pPr>
        <w:pStyle w:val="FirstParagraph"/>
      </w:pPr>
      <w:r>
        <w:t xml:space="preserve">Price/inflation ran ~2-3% across segments in Q1 (roughly split between general inflation and tariffs), and management indicated the tariff environment had "found its normalized point," with fewer supplier requests specifically tied to tariffs and more routine annual pricing conversations. Section 232 steel tariffs were flagged as a watch item but had not yet produced material supplier cost increases as of April. Confirmation that pricing/cost pass-through remains orderly — without margin compression — would be a positive signal.</w:t>
      </w:r>
    </w:p>
    <w:bookmarkEnd w:id="13"/>
    <w:bookmarkStart w:id="14" w:name="X0859ada9fac49f6661c4c5222324aee66ad2322"/>
    <w:p>
      <w:pPr>
        <w:pStyle w:val="Heading2"/>
      </w:pPr>
      <w:r>
        <w:t xml:space="preserve">6. The Separation — Progress Check</w:t>
      </w:r>
    </w:p>
    <w:p>
      <w:pPr>
        <w:pStyle w:val="FirstParagraph"/>
      </w:pPr>
      <w:r>
        <w:t xml:space="preserve">Management called the separation "on track" as of April, targeting completion in Q1 2027, with estimated dis-synergy and stand-alone costs of $100–150 million (split ~evenly between segments for sourcing/back-office dis-synergies, with the stand-alone public-company cost bucket weighted toward Industrial). Watch for:</w:t>
      </w:r>
    </w:p>
    <w:p>
      <w:pPr>
        <w:pStyle w:val="Compact"/>
        <w:numPr>
          <w:ilvl w:val="0"/>
          <w:numId w:val="1003"/>
        </w:numPr>
      </w:pPr>
      <w:r>
        <w:t xml:space="preserve">Updated cost estimates or timeline commentary.</w:t>
      </w:r>
    </w:p>
    <w:p>
      <w:pPr>
        <w:pStyle w:val="Compact"/>
        <w:numPr>
          <w:ilvl w:val="0"/>
          <w:numId w:val="1003"/>
        </w:numPr>
      </w:pPr>
      <w:r>
        <w:t xml:space="preserve">Any explicit management response to the O'Reilly reports (GPC has not confirmed a deal; prior coverage notes GPC "could still decide to keep the unit or pursue a spinoff" independent of the bid).</w:t>
      </w:r>
    </w:p>
    <w:p>
      <w:pPr>
        <w:pStyle w:val="Compact"/>
        <w:numPr>
          <w:ilvl w:val="0"/>
          <w:numId w:val="1003"/>
        </w:numPr>
      </w:pPr>
      <w:r>
        <w:t xml:space="preserve">Capital allocation framework detail for the eventual two companies — CFO Bert Nappier previously sketched a shareholder-return-and-CapEx-focused Automotive company versus a more M&amp;A-oriented Industrial company, with both intended to retain investment-grade ratings.</w:t>
      </w:r>
    </w:p>
    <w:bookmarkEnd w:id="14"/>
    <w:bookmarkStart w:id="15" w:name="X2fad77a8a705bdc69f06c6527abd2151ea9a24d"/>
    <w:p>
      <w:pPr>
        <w:pStyle w:val="Heading2"/>
      </w:pPr>
      <w:r>
        <w:t xml:space="preserve">7. The O'Reilly Wildcard — Key Questions for the Call</w:t>
      </w:r>
    </w:p>
    <w:p>
      <w:pPr>
        <w:pStyle w:val="FirstParagraph"/>
      </w:pPr>
      <w:r>
        <w:t xml:space="preserve">This is likely to dominate the Q&amp;A regardless of what management is willing to say:</w:t>
      </w:r>
    </w:p>
    <w:p>
      <w:pPr>
        <w:pStyle w:val="Compact"/>
        <w:numPr>
          <w:ilvl w:val="0"/>
          <w:numId w:val="1004"/>
        </w:numPr>
      </w:pPr>
      <w:r>
        <w:rPr>
          <w:b/>
          <w:bCs/>
        </w:rPr>
        <w:t xml:space="preserve">Deal economics/antitrust:</w:t>
      </w:r>
      <w:r>
        <w:t xml:space="preserve"> </w:t>
      </w:r>
      <w:r>
        <w:t xml:space="preserve">UBS analyst Michael Lasser has flagged that roughly 60% of NAPA's U.S. stores sit within a 10-minute drive of an O'Reilly location, raising divestiture and FTC scrutiny concerns, and noted NAPA's split company-owned/independent-operator structure complicates the investment case.</w:t>
      </w:r>
    </w:p>
    <w:p>
      <w:pPr>
        <w:pStyle w:val="Compact"/>
        <w:numPr>
          <w:ilvl w:val="0"/>
          <w:numId w:val="1004"/>
        </w:numPr>
      </w:pPr>
      <w:r>
        <w:rPr>
          <w:b/>
          <w:bCs/>
        </w:rPr>
        <w:t xml:space="preserve">Process/timeline:</w:t>
      </w:r>
      <w:r>
        <w:t xml:space="preserve"> </w:t>
      </w:r>
      <w:r>
        <w:t xml:space="preserve">Multiple reports peg a potential announcement — sale, continued spin plan, or status quo — by the end of summer.</w:t>
      </w:r>
    </w:p>
    <w:p>
      <w:pPr>
        <w:pStyle w:val="Compact"/>
        <w:numPr>
          <w:ilvl w:val="0"/>
          <w:numId w:val="1004"/>
        </w:numPr>
      </w:pPr>
      <w:r>
        <w:rPr>
          <w:b/>
          <w:bCs/>
        </w:rPr>
        <w:t xml:space="preserve">Elliott context:</w:t>
      </w:r>
      <w:r>
        <w:t xml:space="preserve"> </w:t>
      </w:r>
      <w:r>
        <w:t xml:space="preserve">The strategic review and eventual separation plan trace back to a September 2025 cooperation agreement with activist investor Elliott Investment Management, under which GPC added new independent directors and committed to reviewing value-creation initiatives — useful background for why a sale process emerged alongside the spin-off.</w:t>
      </w:r>
    </w:p>
    <w:p>
      <w:pPr>
        <w:pStyle w:val="FirstParagraph"/>
      </w:pPr>
      <w:r>
        <w:t xml:space="preserve">Expect management to decline detailed comment on deal specifics (standard practice), but any tone shift on strategic flexibility, or confirmation/denial of active negotiations, would move the stock sharply.</w:t>
      </w:r>
    </w:p>
    <w:bookmarkEnd w:id="15"/>
    <w:bookmarkStart w:id="16" w:name="Xf711c9fb378bb307b6ddc29de7ace537467597b"/>
    <w:p>
      <w:pPr>
        <w:pStyle w:val="Heading2"/>
      </w:pPr>
      <w:r>
        <w:t xml:space="preserve">8. Balance Sheet, Capital Return, and Other Housekeeping</w:t>
      </w:r>
    </w:p>
    <w:p>
      <w:pPr>
        <w:pStyle w:val="Compact"/>
        <w:numPr>
          <w:ilvl w:val="0"/>
          <w:numId w:val="1005"/>
        </w:numPr>
      </w:pPr>
      <w:r>
        <w:t xml:space="preserve">GPC is a</w:t>
      </w:r>
      <w:r>
        <w:t xml:space="preserve"> </w:t>
      </w:r>
      <w:r>
        <w:rPr>
          <w:b/>
          <w:bCs/>
        </w:rPr>
        <w:t xml:space="preserve">Dividend King with 70 consecutive years of dividend increases</w:t>
      </w:r>
      <w:r>
        <w:t xml:space="preserve">; the board most recently declared a quarterly dividend of $1.0625/share (paid July 2, 2026).</w:t>
      </w:r>
    </w:p>
    <w:p>
      <w:pPr>
        <w:pStyle w:val="Compact"/>
        <w:numPr>
          <w:ilvl w:val="0"/>
          <w:numId w:val="1005"/>
        </w:numPr>
      </w:pPr>
      <w:r>
        <w:t xml:space="preserve">In April, GPC amended its credit facility to add</w:t>
      </w:r>
      <w:r>
        <w:t xml:space="preserve"> </w:t>
      </w:r>
      <m:oMath>
        <m:r>
          <m:t>1</m:t>
        </m:r>
        <m:r>
          <m:t>b</m:t>
        </m:r>
        <m:r>
          <m:t>i</m:t>
        </m:r>
        <m:r>
          <m:t>l</m:t>
        </m:r>
        <m:r>
          <m:t>l</m:t>
        </m:r>
        <m:r>
          <m:t>i</m:t>
        </m:r>
        <m:r>
          <m:t>o</m:t>
        </m:r>
        <m:r>
          <m:t>n</m:t>
        </m:r>
        <m:r>
          <m:t>o</m:t>
        </m:r>
        <m:r>
          <m:t>f</m:t>
        </m:r>
        <m:r>
          <m:t>n</m:t>
        </m:r>
        <m:r>
          <m:t>e</m:t>
        </m:r>
        <m:r>
          <m:t>w</m:t>
        </m:r>
        <m:r>
          <m:t>T</m:t>
        </m:r>
        <m:r>
          <m:t>e</m:t>
        </m:r>
        <m:r>
          <m:t>r</m:t>
        </m:r>
        <m:r>
          <m:t>m</m:t>
        </m:r>
        <m:r>
          <m:t>L</m:t>
        </m:r>
        <m:r>
          <m:t>o</m:t>
        </m:r>
        <m:r>
          <m:t>a</m:t>
        </m:r>
        <m:r>
          <m:t>n</m:t>
        </m:r>
        <m:r>
          <m:t>A</m:t>
        </m:r>
        <m:r>
          <m:t>c</m:t>
        </m:r>
        <m:r>
          <m:t>a</m:t>
        </m:r>
        <m:r>
          <m:t>p</m:t>
        </m:r>
        <m:r>
          <m:t>a</m:t>
        </m:r>
        <m:r>
          <m:t>c</m:t>
        </m:r>
        <m:r>
          <m:t>i</m:t>
        </m:r>
        <m:r>
          <m:t>t</m:t>
        </m:r>
        <m:r>
          <m:t>y</m:t>
        </m:r>
        <m:r>
          <m:rPr>
            <m:sty m:val="p"/>
          </m:rPr>
          <m:t>(</m:t>
        </m:r>
      </m:oMath>
      <w:r>
        <w:t xml:space="preserve">500M initial draw, $500M delayed-draw, maturing October 2027) — worth watching for commentary on use of proceeds amid separation-related financing needs.</w:t>
      </w:r>
    </w:p>
    <w:p>
      <w:pPr>
        <w:pStyle w:val="Compact"/>
        <w:numPr>
          <w:ilvl w:val="0"/>
          <w:numId w:val="1005"/>
        </w:numPr>
      </w:pPr>
      <w:r>
        <w:t xml:space="preserve">Q1 free cash flow was light (operating cash flow of only ~</w:t>
      </w:r>
      <m:oMath>
        <m:r>
          <m:t>64</m:t>
        </m:r>
        <m:r>
          <m:t>m</m:t>
        </m:r>
        <m:r>
          <m:t>i</m:t>
        </m:r>
        <m:r>
          <m:t>l</m:t>
        </m:r>
        <m:r>
          <m:t>l</m:t>
        </m:r>
        <m:r>
          <m:t>i</m:t>
        </m:r>
        <m:r>
          <m:t>o</m:t>
        </m:r>
        <m:r>
          <m:t>n</m:t>
        </m:r>
        <m:r>
          <m:rPr>
            <m:sty m:val="p"/>
          </m:rPr>
          <m:t>,</m:t>
        </m:r>
        <m:r>
          <m:t>a</m:t>
        </m:r>
        <m:r>
          <m:t>i</m:t>
        </m:r>
        <m:r>
          <m:t>d</m:t>
        </m:r>
        <m:r>
          <m:t>e</m:t>
        </m:r>
        <m:r>
          <m:t>d</m:t>
        </m:r>
        <m:r>
          <m:t>b</m:t>
        </m:r>
        <m:r>
          <m:t>y</m:t>
        </m:r>
        <m:r>
          <m:t> </m:t>
        </m:r>
      </m:oMath>
      <w:r>
        <w:t xml:space="preserve">200 million working-capital improvement), with capex of ~</w:t>
      </w:r>
      <m:oMath>
        <m:r>
          <m:t>100</m:t>
        </m:r>
        <m:r>
          <m:t>m</m:t>
        </m:r>
        <m:r>
          <m:t>i</m:t>
        </m:r>
        <m:r>
          <m:t>l</m:t>
        </m:r>
        <m:r>
          <m:t>l</m:t>
        </m:r>
        <m:r>
          <m:t>i</m:t>
        </m:r>
        <m:r>
          <m:t>o</m:t>
        </m:r>
        <m:r>
          <m:t>n</m:t>
        </m:r>
        <m:r>
          <m:t>a</m:t>
        </m:r>
        <m:r>
          <m:t>n</m:t>
        </m:r>
        <m:r>
          <m:t>d</m:t>
        </m:r>
        <m:r>
          <m:t> </m:t>
        </m:r>
      </m:oMath>
      <w:r>
        <w:t xml:space="preserve">142 million returned via dividends — a dynamic some commentators have flagged as a dividend coverage watch item worth monitoring again this quarter.</w:t>
      </w:r>
    </w:p>
    <w:bookmarkEnd w:id="16"/>
    <w:bookmarkStart w:id="17" w:name="Xa37c0942948ed49d57928a8eb2a7662b062c26e"/>
    <w:p>
      <w:pPr>
        <w:pStyle w:val="Heading2"/>
      </w:pPr>
      <w:r>
        <w:t xml:space="preserve">9. Valuation and Sentiment Backdrop</w:t>
      </w:r>
    </w:p>
    <w:p>
      <w:pPr>
        <w:pStyle w:val="FirstParagraph"/>
      </w:pPr>
      <w:r>
        <w:t xml:space="preserve">GPC shares are little changed on a year-to-date basis (~</w:t>
      </w:r>
      <m:oMath>
        <m:r>
          <m:t>124</m:t>
        </m:r>
        <m:r>
          <m:t>t</m:t>
        </m:r>
        <m:r>
          <m:t>o</m:t>
        </m:r>
        <m:r>
          <m:t> </m:t>
        </m:r>
      </m:oMath>
      <w:r>
        <w:t xml:space="preserve">122), masking a volatile ride: a slide from the mid-$140s in February on tariff/consumer-confidence worries down to a 52-week-range low near $93 in May, a recovery through June, and the July spike/pullback tied to O'Reilly speculation. The stock currently carries a Moderate Buy/Outperform-leaning consensus among sellside analysts, with price targets that have moved around considerably as the strategic story has evolved — reflecting genuine disagreement about whether the separation, a sale of NAPA, or continued standalone execution creates the most value.</w:t>
      </w:r>
    </w:p>
    <w:bookmarkEnd w:id="17"/>
    <w:bookmarkStart w:id="18" w:name="X1cc629d3e434e7f5f996f119c14bada2be2b8a0"/>
    <w:p>
      <w:pPr>
        <w:pStyle w:val="Heading2"/>
      </w:pPr>
      <w:r>
        <w:t xml:space="preserve">10. Bottom Line</w:t>
      </w:r>
    </w:p>
    <w:p>
      <w:pPr>
        <w:pStyle w:val="FirstParagraph"/>
      </w:pPr>
      <w:r>
        <w:t xml:space="preserve">Heading into Tuesday's print, the operating story is one of steady, if unspectacular, execution: Industrial remains the profit engine, North America Automotive is stabilizing on company-owned store strength, and International Automotive is recovering but margin-challenged. Consensus expects a flat-EPS, modest-revenue-growth quarter, with the Iran conflict-related cost drag ($10–20M EBITDA) as the main known swing factor. But the real story for investors is strategic: confirmation of full-year guidance, updated separation costs/timeline, and — most importantly — any signal on the O'Reilly interest in NAPA will likely matter more to the stock than the reported quarterly beat or miss itself.</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2026-07-21T00:46:41Z</dcterms:created>
  <dcterms:modified xsi:type="dcterms:W3CDTF">2026-07-21T00:46:41Z</dcterms:modified>
</cp:coreProperties>
</file>

<file path=docProps/custom.xml><?xml version="1.0" encoding="utf-8"?>
<Properties xmlns="http://schemas.openxmlformats.org/officeDocument/2006/custom-properties" xmlns:vt="http://schemas.openxmlformats.org/officeDocument/2006/docPropsVTypes"/>
</file>