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gpc-q2-2026-earnings-preview"/>
    <w:p>
      <w:pPr>
        <w:pStyle w:val="Heading1"/>
      </w:pPr>
      <w:r>
        <w:t xml:space="preserve">GPC Q2 2026 Earnings Preview</w:t>
      </w:r>
    </w:p>
    <w:p>
      <w:pPr>
        <w:pStyle w:val="BlockText"/>
      </w:pPr>
      <w:r>
        <w:rPr>
          <w:b/>
          <w:bCs/>
        </w:rPr>
        <w:t xml:space="preserve">Timing clarification:</w:t>
      </w:r>
      <w:r>
        <w:t xml:space="preserve"> </w:t>
      </w:r>
      <w:r>
        <w:t xml:space="preserve">Genuine Parts is scheduled to report</w:t>
      </w:r>
      <w:r>
        <w:t xml:space="preserve"> </w:t>
      </w:r>
      <w:r>
        <w:rPr>
          <w:b/>
          <w:bCs/>
        </w:rPr>
        <w:t xml:space="preserve">today, July 21, 2026</w:t>
      </w:r>
      <w:r>
        <w:t xml:space="preserve">, before the market opens—not tomorrow. The earnings call is scheduled for</w:t>
      </w:r>
      <w:r>
        <w:t xml:space="preserve"> </w:t>
      </w:r>
      <w:r>
        <w:rPr>
          <w:b/>
          <w:bCs/>
        </w:rPr>
        <w:t xml:space="preserve">8:30 a.m. ET</w:t>
      </w:r>
      <w:r>
        <w:t xml:space="preserve">. (</w:t>
      </w:r>
      <w:hyperlink r:id="rId9">
        <w:r>
          <w:rPr>
            <w:rStyle w:val="Hyperlink"/>
          </w:rPr>
          <w:t xml:space="preserve">genpt.com</w:t>
        </w:r>
      </w:hyperlink>
      <w:r>
        <w:t xml:space="preserve">)</w:t>
      </w:r>
    </w:p>
    <w:bookmarkStart w:id="10" w:name="executive-view"/>
    <w:p>
      <w:pPr>
        <w:pStyle w:val="Heading2"/>
      </w:pPr>
      <w:r>
        <w:t xml:space="preserve">Executive view</w:t>
      </w:r>
    </w:p>
    <w:p>
      <w:pPr>
        <w:pStyle w:val="FirstParagraph"/>
      </w:pPr>
      <w:r>
        <w:t xml:space="preserve">This report has</w:t>
      </w:r>
      <w:r>
        <w:t xml:space="preserve"> </w:t>
      </w:r>
      <w:r>
        <w:rPr>
          <w:b/>
          <w:bCs/>
        </w:rPr>
        <w:t xml:space="preserve">two distinct catalysts</w:t>
      </w:r>
      <w:r>
        <w:t xml:space="preserve">:</w:t>
      </w:r>
    </w:p>
    <w:p>
      <w:pPr>
        <w:pStyle w:val="Compact"/>
        <w:numPr>
          <w:ilvl w:val="0"/>
          <w:numId w:val="1001"/>
        </w:numPr>
      </w:pPr>
      <w:r>
        <w:rPr>
          <w:b/>
          <w:bCs/>
        </w:rPr>
        <w:t xml:space="preserve">Can the operating businesses absorb the Q2 freight, fuel, wage and product-cost pressures without another guidance reset?</w:t>
      </w:r>
    </w:p>
    <w:p>
      <w:pPr>
        <w:pStyle w:val="Compact"/>
        <w:numPr>
          <w:ilvl w:val="0"/>
          <w:numId w:val="1001"/>
        </w:numPr>
      </w:pPr>
      <w:r>
        <w:rPr>
          <w:b/>
          <w:bCs/>
        </w:rPr>
        <w:t xml:space="preserve">Will management address the reported O’Reilly bid for the automotive business—or at least clarify whether the planned separation remains the preferred path?</w:t>
      </w:r>
    </w:p>
    <w:p>
      <w:pPr>
        <w:pStyle w:val="FirstParagraph"/>
      </w:pPr>
      <w:r>
        <w:t xml:space="preserve">The quarterly consensus bar is not especially demanding: roughly flat adjusted EPS on modest revenue growth. But investors are likely to care much more about</w:t>
      </w:r>
      <w:r>
        <w:t xml:space="preserve"> </w:t>
      </w:r>
      <w:r>
        <w:rPr>
          <w:b/>
          <w:bCs/>
        </w:rPr>
        <w:t xml:space="preserve">segment margins, full-year guidance and strategic optionality</w:t>
      </w:r>
      <w:r>
        <w:t xml:space="preserve"> </w:t>
      </w:r>
      <w:r>
        <w:t xml:space="preserve">than a few cents of EPS variance.</w:t>
      </w:r>
    </w:p>
    <w:bookmarkEnd w:id="10"/>
    <w:bookmarkStart w:id="12" w:name="consensus-snapshot"/>
    <w:p>
      <w:pPr>
        <w:pStyle w:val="Heading2"/>
      </w:pPr>
      <w:r>
        <w:t xml:space="preserve">Consensus snapshot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change</w:t>
            </w:r>
          </w:p>
        </w:tc>
      </w:tr>
      <w:tr>
        <w:tc>
          <w:tcPr/>
          <w:p>
            <w:pPr>
              <w:pStyle w:val="Compact"/>
            </w:pPr>
            <w:r>
              <w:t xml:space="preserve">Revenue</w:t>
            </w:r>
          </w:p>
        </w:tc>
        <w:tc>
          <w:tcPr/>
          <w:p>
            <w:pPr>
              <w:pStyle w:val="Compact"/>
              <w:jc w:val="right"/>
            </w:pPr>
            <m:oMath>
              <m:r>
                <m:t>6.39</m:t>
              </m:r>
              <m:r>
                <m:t>B</m:t>
              </m:r>
              <m:r>
                <m:rPr>
                  <m:sty m:val="p"/>
                </m:rPr>
                <m:t>–</m:t>
              </m:r>
            </m:oMath>
            <w:r>
              <w:rPr>
                <w:b/>
                <w:bCs/>
              </w:rPr>
              <w:t xml:space="preserve">6.43B</w:t>
            </w:r>
          </w:p>
        </w:tc>
        <w:tc>
          <w:tcPr/>
          <w:p>
            <w:pPr>
              <w:pStyle w:val="Compact"/>
              <w:jc w:val="right"/>
            </w:pPr>
            <w:r>
              <w:t xml:space="preserve">$6.16B</w:t>
            </w:r>
          </w:p>
        </w:tc>
        <w:tc>
          <w:tcPr/>
          <w:p>
            <w:pPr>
              <w:pStyle w:val="Compact"/>
              <w:jc w:val="right"/>
            </w:pPr>
            <w:r>
              <w:t xml:space="preserve">Approximately +4%</w:t>
            </w:r>
          </w:p>
        </w:tc>
      </w:tr>
      <w:tr>
        <w:tc>
          <w:tcPr/>
          <w:p>
            <w:pPr>
              <w:pStyle w:val="Compact"/>
            </w:pPr>
            <w:r>
              <w:t xml:space="preserve">Adjusted EPS</w:t>
            </w:r>
          </w:p>
        </w:tc>
        <w:tc>
          <w:tcPr/>
          <w:p>
            <w:pPr>
              <w:pStyle w:val="Compact"/>
              <w:jc w:val="right"/>
            </w:pPr>
            <m:oMath>
              <m:r>
                <m:t>2.08</m:t>
              </m:r>
              <m:r>
                <m:rPr>
                  <m:sty m:val="p"/>
                </m:rPr>
                <m:t>–</m:t>
              </m:r>
            </m:oMath>
            <w:r>
              <w:rPr>
                <w:b/>
                <w:bCs/>
              </w:rPr>
              <w:t xml:space="preserve">2.10</w:t>
            </w:r>
          </w:p>
        </w:tc>
        <w:tc>
          <w:tcPr/>
          <w:p>
            <w:pPr>
              <w:pStyle w:val="Compact"/>
              <w:jc w:val="right"/>
            </w:pPr>
            <w:r>
              <w:t xml:space="preserve">$2.10</w:t>
            </w:r>
          </w:p>
        </w:tc>
        <w:tc>
          <w:tcPr/>
          <w:p>
            <w:pPr>
              <w:pStyle w:val="Compact"/>
              <w:jc w:val="right"/>
            </w:pPr>
            <w:r>
              <w:t xml:space="preserve">Roughly flat</w:t>
            </w:r>
          </w:p>
        </w:tc>
      </w:tr>
      <w:tr>
        <w:tc>
          <w:tcPr/>
          <w:p>
            <w:pPr>
              <w:pStyle w:val="Compact"/>
            </w:pPr>
            <w:r>
              <w:t xml:space="preserve">Automotive sales</w:t>
            </w:r>
          </w:p>
        </w:tc>
        <w:tc>
          <w:tcPr/>
          <w:p>
            <w:pPr>
              <w:pStyle w:val="Compact"/>
              <w:jc w:val="right"/>
            </w:pPr>
            <w:r>
              <w:rPr>
                <w:b/>
                <w:bCs/>
              </w:rPr>
              <w:t xml:space="preserve">$4.03B</w:t>
            </w:r>
          </w:p>
        </w:tc>
        <w:tc>
          <w:tcPr/>
          <w:p>
            <w:pPr>
              <w:pStyle w:val="Compact"/>
              <w:jc w:val="right"/>
            </w:pPr>
            <w:r>
              <w:t xml:space="preserve">$3.91B</w:t>
            </w:r>
          </w:p>
        </w:tc>
        <w:tc>
          <w:tcPr/>
          <w:p>
            <w:pPr>
              <w:pStyle w:val="Compact"/>
              <w:jc w:val="right"/>
            </w:pPr>
            <w:r>
              <w:t xml:space="preserve">+2.9%</w:t>
            </w:r>
          </w:p>
        </w:tc>
      </w:tr>
      <w:tr>
        <w:tc>
          <w:tcPr/>
          <w:p>
            <w:pPr>
              <w:pStyle w:val="Compact"/>
            </w:pPr>
            <w:r>
              <w:t xml:space="preserve">Industrial sales</w:t>
            </w:r>
          </w:p>
        </w:tc>
        <w:tc>
          <w:tcPr/>
          <w:p>
            <w:pPr>
              <w:pStyle w:val="Compact"/>
              <w:jc w:val="right"/>
            </w:pPr>
            <w:r>
              <w:rPr>
                <w:b/>
                <w:bCs/>
              </w:rPr>
              <w:t xml:space="preserve">$2.35B</w:t>
            </w:r>
          </w:p>
        </w:tc>
        <w:tc>
          <w:tcPr/>
          <w:p>
            <w:pPr>
              <w:pStyle w:val="Compact"/>
              <w:jc w:val="right"/>
            </w:pPr>
            <w:r>
              <w:t xml:space="preserve">$2.25B</w:t>
            </w:r>
          </w:p>
        </w:tc>
        <w:tc>
          <w:tcPr/>
          <w:p>
            <w:pPr>
              <w:pStyle w:val="Compact"/>
              <w:jc w:val="right"/>
            </w:pPr>
            <w:r>
              <w:t xml:space="preserve">+4.4%</w:t>
            </w:r>
          </w:p>
        </w:tc>
      </w:tr>
      <w:tr>
        <w:tc>
          <w:tcPr/>
          <w:p>
            <w:pPr>
              <w:pStyle w:val="Compact"/>
            </w:pPr>
            <w:r>
              <w:t xml:space="preserve">Automotive EBITDA</w:t>
            </w:r>
          </w:p>
        </w:tc>
        <w:tc>
          <w:tcPr/>
          <w:p>
            <w:pPr>
              <w:pStyle w:val="Compact"/>
              <w:jc w:val="right"/>
            </w:pPr>
            <w:r>
              <w:rPr>
                <w:b/>
                <w:bCs/>
              </w:rPr>
              <w:t xml:space="preserve">$339M</w:t>
            </w:r>
          </w:p>
        </w:tc>
        <w:tc>
          <w:tcPr/>
          <w:p>
            <w:pPr>
              <w:pStyle w:val="Compact"/>
              <w:jc w:val="right"/>
            </w:pPr>
            <w:r>
              <w:t xml:space="preserve">$338M</w:t>
            </w:r>
          </w:p>
        </w:tc>
        <w:tc>
          <w:tcPr/>
          <w:p>
            <w:pPr>
              <w:pStyle w:val="Compact"/>
              <w:jc w:val="right"/>
            </w:pPr>
            <w:r>
              <w:t xml:space="preserve">Approximately flat</w:t>
            </w:r>
          </w:p>
        </w:tc>
      </w:tr>
      <w:tr>
        <w:tc>
          <w:tcPr/>
          <w:p>
            <w:pPr>
              <w:pStyle w:val="Compact"/>
            </w:pPr>
            <w:r>
              <w:t xml:space="preserve">Industrial EBITDA</w:t>
            </w:r>
          </w:p>
        </w:tc>
        <w:tc>
          <w:tcPr/>
          <w:p>
            <w:pPr>
              <w:pStyle w:val="Compact"/>
              <w:jc w:val="right"/>
            </w:pPr>
            <w:r>
              <w:rPr>
                <w:b/>
                <w:bCs/>
              </w:rPr>
              <w:t xml:space="preserve">$312M</w:t>
            </w:r>
          </w:p>
        </w:tc>
        <w:tc>
          <w:tcPr/>
          <w:p>
            <w:pPr>
              <w:pStyle w:val="Compact"/>
              <w:jc w:val="right"/>
            </w:pPr>
            <w:r>
              <w:t xml:space="preserve">$288M</w:t>
            </w:r>
          </w:p>
        </w:tc>
        <w:tc>
          <w:tcPr/>
          <w:p>
            <w:pPr>
              <w:pStyle w:val="Compact"/>
              <w:jc w:val="right"/>
            </w:pPr>
            <w:r>
              <w:t xml:space="preserve">+8%</w:t>
            </w:r>
          </w:p>
        </w:tc>
      </w:tr>
    </w:tbl>
    <w:p>
      <w:pPr>
        <w:pStyle w:val="BodyText"/>
      </w:pPr>
      <w:r>
        <w:t xml:space="preserve">Consensus implies an automotive EBITDA margin of roughly</w:t>
      </w:r>
      <w:r>
        <w:t xml:space="preserve"> </w:t>
      </w:r>
      <w:r>
        <w:rPr>
          <w:b/>
          <w:bCs/>
        </w:rPr>
        <w:t xml:space="preserve">8.4%</w:t>
      </w:r>
      <w:r>
        <w:t xml:space="preserve">, slightly below last year’s 8.6%, while Industrial margin is expected near</w:t>
      </w:r>
      <w:r>
        <w:t xml:space="preserve"> </w:t>
      </w:r>
      <w:r>
        <w:rPr>
          <w:b/>
          <w:bCs/>
        </w:rPr>
        <w:t xml:space="preserve">13.3%</w:t>
      </w:r>
      <w:r>
        <w:t xml:space="preserve">, approximately 50 basis points better year over year. Estimates vary somewhat by provider, particularly for revenue, so the segment-level expectations may be the more useful scorecard. (</w:t>
      </w:r>
      <w:hyperlink r:id="rId11">
        <w:r>
          <w:rPr>
            <w:rStyle w:val="Hyperlink"/>
          </w:rPr>
          <w:t xml:space="preserve">marketbeat.com</w:t>
        </w:r>
      </w:hyperlink>
      <w:r>
        <w:t xml:space="preserve">)</w:t>
      </w:r>
    </w:p>
    <w:bookmarkEnd w:id="12"/>
    <w:bookmarkStart w:id="21" w:name="what-matters-most"/>
    <w:p>
      <w:pPr>
        <w:pStyle w:val="Heading2"/>
      </w:pPr>
      <w:r>
        <w:t xml:space="preserve">What matters most</w:t>
      </w:r>
    </w:p>
    <w:bookmarkStart w:id="14" w:name="X6e061a10eb6c82afb9752e7f06ff8eae74a65f9"/>
    <w:p>
      <w:pPr>
        <w:pStyle w:val="Heading3"/>
      </w:pPr>
      <w:r>
        <w:t xml:space="preserve">1. Industrial must remain the earnings engine</w:t>
      </w:r>
    </w:p>
    <w:p>
      <w:pPr>
        <w:pStyle w:val="FirstParagraph"/>
      </w:pPr>
      <w:r>
        <w:t xml:space="preserve">Industrial was the clear standout in Q1:</w:t>
      </w:r>
    </w:p>
    <w:p>
      <w:pPr>
        <w:pStyle w:val="Compact"/>
        <w:numPr>
          <w:ilvl w:val="0"/>
          <w:numId w:val="1002"/>
        </w:numPr>
      </w:pPr>
      <w:r>
        <w:t xml:space="preserve">Sales increased 5.2%.</w:t>
      </w:r>
    </w:p>
    <w:p>
      <w:pPr>
        <w:pStyle w:val="Compact"/>
        <w:numPr>
          <w:ilvl w:val="0"/>
          <w:numId w:val="1002"/>
        </w:numPr>
      </w:pPr>
      <w:r>
        <w:t xml:space="preserve">Comparable sales rose 3.9%.</w:t>
      </w:r>
    </w:p>
    <w:p>
      <w:pPr>
        <w:pStyle w:val="Compact"/>
        <w:numPr>
          <w:ilvl w:val="0"/>
          <w:numId w:val="1002"/>
        </w:numPr>
      </w:pPr>
      <w:r>
        <w:t xml:space="preserve">EBITDA increased 12.7%.</w:t>
      </w:r>
    </w:p>
    <w:p>
      <w:pPr>
        <w:pStyle w:val="Compact"/>
        <w:numPr>
          <w:ilvl w:val="0"/>
          <w:numId w:val="1002"/>
        </w:numPr>
      </w:pPr>
      <w:r>
        <w:t xml:space="preserve">EBITDA margin expanded 90 basis points to 13.6%.</w:t>
      </w:r>
    </w:p>
    <w:p>
      <w:pPr>
        <w:pStyle w:val="FirstParagraph"/>
      </w:pPr>
      <w:r>
        <w:t xml:space="preserve">Management attributed the strength to growth across 10 of 14 end markets, healthy MRO demand and more planned maintenance outages. The critical Q2 question is whether that performance was durable or partly front-loaded. (</w:t>
      </w:r>
      <w:hyperlink r:id="rId13">
        <w:r>
          <w:rPr>
            <w:rStyle w:val="Hyperlink"/>
          </w:rPr>
          <w:t xml:space="preserve">filecache.investorroom.com</w:t>
        </w:r>
      </w:hyperlink>
      <w:r>
        <w:t xml:space="preserve">)</w:t>
      </w:r>
    </w:p>
    <w:p>
      <w:pPr>
        <w:pStyle w:val="BodyText"/>
      </w:pPr>
      <w:r>
        <w:t xml:space="preserve">A result around the</w:t>
      </w:r>
      <w:r>
        <w:t xml:space="preserve"> </w:t>
      </w:r>
      <w:r>
        <w:rPr>
          <w:b/>
          <w:bCs/>
        </w:rPr>
        <w:t xml:space="preserve">$312 million Industrial EBITDA consensus</w:t>
      </w:r>
      <w:r>
        <w:t xml:space="preserve"> </w:t>
      </w:r>
      <w:r>
        <w:t xml:space="preserve">would still represent strong year-over-year growth, but it would be slightly below Q1 despite normal seasonal revenue improvement. Investors should therefore distinguish between an ordinary sequential change and evidence that industrial demand or restructuring benefits are losing momentum.</w:t>
      </w:r>
    </w:p>
    <w:p>
      <w:pPr>
        <w:pStyle w:val="BodyText"/>
      </w:pPr>
      <w:r>
        <w:rPr>
          <w:b/>
          <w:bCs/>
        </w:rPr>
        <w:t xml:space="preserve">Positive read-through:</w:t>
      </w:r>
      <w:r>
        <w:t xml:space="preserve"> </w:t>
      </w:r>
      <w:r>
        <w:t xml:space="preserve">Industrial margin holds around 13.3% or better, with continued broad-based MRO growth.</w:t>
      </w:r>
    </w:p>
    <w:p>
      <w:pPr>
        <w:pStyle w:val="BodyText"/>
      </w:pPr>
      <w:r>
        <w:rPr>
          <w:b/>
          <w:bCs/>
        </w:rPr>
        <w:t xml:space="preserve">Warning sign:</w:t>
      </w:r>
      <w:r>
        <w:t xml:space="preserve"> </w:t>
      </w:r>
      <w:r>
        <w:t xml:space="preserve">Sales growth remains healthy but EBITDA margin falls toward last year’s 12.8%, suggesting pricing and restructuring savings are being consumed by freight, labor or input costs.</w:t>
      </w:r>
    </w:p>
    <w:bookmarkEnd w:id="14"/>
    <w:bookmarkStart w:id="15" w:name="Xf39310a6033380db5b84d466d4e915563460589"/>
    <w:p>
      <w:pPr>
        <w:pStyle w:val="Heading3"/>
      </w:pPr>
      <w:r>
        <w:t xml:space="preserve">2. Automotive needs better margin quality—not merely inflation-driven sales</w:t>
      </w:r>
    </w:p>
    <w:p>
      <w:pPr>
        <w:pStyle w:val="FirstParagraph"/>
      </w:pPr>
      <w:r>
        <w:t xml:space="preserve">North America Automotive entered Q2 with improving demand: Q1 comparable sales rose 2.2%, company-owned store comps increased about 5.5%, and commercial sales outperformed retail. But the independent-store channel remained less robust, and Canada continued to face soft market conditions. International Automotive generated only 0.3% comparable growth in Q1, while its margin fell 80 basis points to 9.1% as wage, rent and freight inflation outweighed some restructuring benefits. (</w:t>
      </w:r>
      <w:hyperlink r:id="rId13">
        <w:r>
          <w:rPr>
            <w:rStyle w:val="Hyperlink"/>
          </w:rPr>
          <w:t xml:space="preserve">filecache.investorroom.com</w:t>
        </w:r>
      </w:hyperlink>
      <w:r>
        <w:t xml:space="preserve">)</w:t>
      </w:r>
    </w:p>
    <w:p>
      <w:pPr>
        <w:pStyle w:val="BodyText"/>
      </w:pPr>
      <w:r>
        <w:t xml:space="preserve">The Street expects total Automotive EBITDA to be almost unchanged at approximately</w:t>
      </w:r>
      <w:r>
        <w:t xml:space="preserve"> </w:t>
      </w:r>
      <w:r>
        <w:rPr>
          <w:b/>
          <w:bCs/>
        </w:rPr>
        <w:t xml:space="preserve">$339 million</w:t>
      </w:r>
      <w:r>
        <w:t xml:space="preserve"> </w:t>
      </w:r>
      <w:r>
        <w:t xml:space="preserve">despite nearly 3% sales growth. That low expectation creates room for a beat, but it also reflects skepticism about the quality of the automotive earnings recovery.</w:t>
      </w:r>
    </w:p>
    <w:p>
      <w:pPr>
        <w:pStyle w:val="BodyText"/>
      </w:pPr>
      <w:r>
        <w:t xml:space="preserve">Investors should focus on:</w:t>
      </w:r>
    </w:p>
    <w:p>
      <w:pPr>
        <w:pStyle w:val="Compact"/>
        <w:numPr>
          <w:ilvl w:val="0"/>
          <w:numId w:val="1003"/>
        </w:numPr>
      </w:pPr>
      <w:r>
        <w:t xml:space="preserve">U.S. commercial versus retail sales.</w:t>
      </w:r>
    </w:p>
    <w:p>
      <w:pPr>
        <w:pStyle w:val="Compact"/>
        <w:numPr>
          <w:ilvl w:val="0"/>
          <w:numId w:val="1003"/>
        </w:numPr>
      </w:pPr>
      <w:r>
        <w:t xml:space="preserve">Company-owned stores versus purchases by independent NAPA owners.</w:t>
      </w:r>
    </w:p>
    <w:p>
      <w:pPr>
        <w:pStyle w:val="Compact"/>
        <w:numPr>
          <w:ilvl w:val="0"/>
          <w:numId w:val="1003"/>
        </w:numPr>
      </w:pPr>
      <w:r>
        <w:t xml:space="preserve">Whether Europe’s sequential improvement continued.</w:t>
      </w:r>
    </w:p>
    <w:p>
      <w:pPr>
        <w:pStyle w:val="Compact"/>
        <w:numPr>
          <w:ilvl w:val="0"/>
          <w:numId w:val="1003"/>
        </w:numPr>
      </w:pPr>
      <w:r>
        <w:t xml:space="preserve">International Automotive margin stabilization.</w:t>
      </w:r>
    </w:p>
    <w:p>
      <w:pPr>
        <w:pStyle w:val="Compact"/>
        <w:numPr>
          <w:ilvl w:val="0"/>
          <w:numId w:val="1003"/>
        </w:numPr>
      </w:pPr>
      <w:r>
        <w:t xml:space="preserve">The balance between pricing and unit demand.</w:t>
      </w:r>
    </w:p>
    <w:p>
      <w:pPr>
        <w:pStyle w:val="Compact"/>
        <w:numPr>
          <w:ilvl w:val="0"/>
          <w:numId w:val="1003"/>
        </w:numPr>
      </w:pPr>
      <w:r>
        <w:t xml:space="preserve">Evidence that company-owned store initiatives are improving profitability, not just sales.</w:t>
      </w:r>
    </w:p>
    <w:bookmarkEnd w:id="15"/>
    <w:bookmarkStart w:id="17" w:name="Xa85555379c17659fb5efca5af2c186fbe72b968"/>
    <w:p>
      <w:pPr>
        <w:pStyle w:val="Heading3"/>
      </w:pPr>
      <w:r>
        <w:t xml:space="preserve">3. The Q2 cost-pressure test</w:t>
      </w:r>
    </w:p>
    <w:p>
      <w:pPr>
        <w:pStyle w:val="FirstParagraph"/>
      </w:pPr>
      <w:r>
        <w:t xml:space="preserve">On the Q1 call, management said the Middle East conflict and associated freight, fuel and product-cost pressures could create a</w:t>
      </w:r>
      <w:r>
        <w:t xml:space="preserve"> </w:t>
      </w:r>
      <m:oMath>
        <m:r>
          <m:t>10</m:t>
        </m:r>
        <m:r>
          <m:t>m</m:t>
        </m:r>
        <m:r>
          <m:t>i</m:t>
        </m:r>
        <m:r>
          <m:t>l</m:t>
        </m:r>
        <m:r>
          <m:t>l</m:t>
        </m:r>
        <m:r>
          <m:t>i</m:t>
        </m:r>
        <m:r>
          <m:t>o</m:t>
        </m:r>
        <m:r>
          <m:t>n</m:t>
        </m:r>
        <m:r>
          <m:rPr>
            <m:sty m:val="p"/>
          </m:rPr>
          <m:t>–</m:t>
        </m:r>
      </m:oMath>
      <w:r>
        <w:rPr>
          <w:b/>
          <w:bCs/>
        </w:rPr>
        <w:t xml:space="preserve">20 million net Q2 EBITDA headwind</w:t>
      </w:r>
      <w:r>
        <w:t xml:space="preserve">. Management expected Q2 to bear the largest near-term impact, with pricing offsets constrained by potentially softer demand. (</w:t>
      </w:r>
      <w:hyperlink r:id="rId16">
        <w:r>
          <w:rPr>
            <w:rStyle w:val="Hyperlink"/>
          </w:rPr>
          <w:t xml:space="preserve">fool.com</w:t>
        </w:r>
      </w:hyperlink>
      <w:r>
        <w:t xml:space="preserve">)</w:t>
      </w:r>
    </w:p>
    <w:p>
      <w:pPr>
        <w:pStyle w:val="BodyText"/>
      </w:pPr>
      <w:r>
        <w:t xml:space="preserve">That warning is important when interpreting the headline numbers. A result close to consensus accompanied by stable margins and unchanged guidance could be viewed favorably if the company demonstrates that it absorbed the forecast headwind.</w:t>
      </w:r>
    </w:p>
    <w:p>
      <w:pPr>
        <w:pStyle w:val="BodyText"/>
      </w:pPr>
      <w:r>
        <w:t xml:space="preserve">Conversely, investors may react poorly if management attributes a miss to the same pressures but indicates that they will persist into Q3. The most important margin indicators will be:</w:t>
      </w:r>
    </w:p>
    <w:p>
      <w:pPr>
        <w:pStyle w:val="Compact"/>
        <w:numPr>
          <w:ilvl w:val="0"/>
          <w:numId w:val="1004"/>
        </w:numPr>
      </w:pPr>
      <w:r>
        <w:t xml:space="preserve">Gross-margin expansion versus the full-year target.</w:t>
      </w:r>
    </w:p>
    <w:p>
      <w:pPr>
        <w:pStyle w:val="Compact"/>
        <w:numPr>
          <w:ilvl w:val="0"/>
          <w:numId w:val="1004"/>
        </w:numPr>
      </w:pPr>
      <w:r>
        <w:t xml:space="preserve">Adjusted SG&amp;A leverage.</w:t>
      </w:r>
    </w:p>
    <w:p>
      <w:pPr>
        <w:pStyle w:val="Compact"/>
        <w:numPr>
          <w:ilvl w:val="0"/>
          <w:numId w:val="1004"/>
        </w:numPr>
      </w:pPr>
      <w:r>
        <w:t xml:space="preserve">Freight and fuel expense.</w:t>
      </w:r>
    </w:p>
    <w:p>
      <w:pPr>
        <w:pStyle w:val="Compact"/>
        <w:numPr>
          <w:ilvl w:val="0"/>
          <w:numId w:val="1004"/>
        </w:numPr>
      </w:pPr>
      <w:r>
        <w:t xml:space="preserve">Pricing versus product-cost inflation.</w:t>
      </w:r>
    </w:p>
    <w:p>
      <w:pPr>
        <w:pStyle w:val="Compact"/>
        <w:numPr>
          <w:ilvl w:val="0"/>
          <w:numId w:val="1004"/>
        </w:numPr>
      </w:pPr>
      <w:r>
        <w:t xml:space="preserve">Realized restructuring savings.</w:t>
      </w:r>
    </w:p>
    <w:p>
      <w:pPr>
        <w:pStyle w:val="FirstParagraph"/>
      </w:pPr>
      <w:r>
        <w:t xml:space="preserve">GPC’s existing 2026 outlook calls for</w:t>
      </w:r>
      <w:r>
        <w:t xml:space="preserve"> </w:t>
      </w:r>
      <w:r>
        <w:rPr>
          <w:b/>
          <w:bCs/>
        </w:rPr>
        <w:t xml:space="preserve">40–60 basis points of adjusted gross-margin expansion</w:t>
      </w:r>
      <w:r>
        <w:t xml:space="preserve">, a 30–50-basis-point reduction in adjusted SG&amp;A as a percentage of sales, and adjusted EBITDA of</w:t>
      </w:r>
      <w:r>
        <w:t xml:space="preserve"> </w:t>
      </w:r>
      <m:oMath>
        <m:r>
          <m:t>2.0</m:t>
        </m:r>
        <m:r>
          <m:t>b</m:t>
        </m:r>
        <m:r>
          <m:t>i</m:t>
        </m:r>
        <m:r>
          <m:t>l</m:t>
        </m:r>
        <m:r>
          <m:t>l</m:t>
        </m:r>
        <m:r>
          <m:t>i</m:t>
        </m:r>
        <m:r>
          <m:t>o</m:t>
        </m:r>
        <m:r>
          <m:t>n</m:t>
        </m:r>
        <m:r>
          <m:rPr>
            <m:sty m:val="p"/>
          </m:rPr>
          <m:t>–</m:t>
        </m:r>
      </m:oMath>
      <w:r>
        <w:t xml:space="preserve">2.2 billion. (</w:t>
      </w:r>
      <w:hyperlink r:id="rId13">
        <w:r>
          <w:rPr>
            <w:rStyle w:val="Hyperlink"/>
          </w:rPr>
          <w:t xml:space="preserve">filecache.investorroom.com</w:t>
        </w:r>
      </w:hyperlink>
      <w:r>
        <w:t xml:space="preserve">)</w:t>
      </w:r>
    </w:p>
    <w:bookmarkEnd w:id="17"/>
    <w:bookmarkStart w:id="18" w:name="Xf62b2d540db6bf8d81754bff7e114802b0e2bdc"/>
    <w:p>
      <w:pPr>
        <w:pStyle w:val="Heading3"/>
      </w:pPr>
      <w:r>
        <w:t xml:space="preserve">4. Guidance is the financial fulcrum</w:t>
      </w:r>
    </w:p>
    <w:p>
      <w:pPr>
        <w:pStyle w:val="FirstParagraph"/>
      </w:pPr>
      <w:r>
        <w:t xml:space="preserve">Current full-year guidance is:</w:t>
      </w:r>
    </w:p>
    <w:p>
      <w:pPr>
        <w:pStyle w:val="Compact"/>
        <w:numPr>
          <w:ilvl w:val="0"/>
          <w:numId w:val="1005"/>
        </w:numPr>
      </w:pPr>
      <w:r>
        <w:t xml:space="preserve">Sales growth of</w:t>
      </w:r>
      <w:r>
        <w:t xml:space="preserve"> </w:t>
      </w:r>
      <w:r>
        <w:rPr>
          <w:b/>
          <w:bCs/>
        </w:rPr>
        <w:t xml:space="preserve">3%–5.5%</w:t>
      </w:r>
      <w:r>
        <w:t xml:space="preserve">.</w:t>
      </w:r>
    </w:p>
    <w:p>
      <w:pPr>
        <w:pStyle w:val="Compact"/>
        <w:numPr>
          <w:ilvl w:val="0"/>
          <w:numId w:val="1005"/>
        </w:numPr>
      </w:pPr>
      <w:r>
        <w:t xml:space="preserve">Comparable-sales growth of</w:t>
      </w:r>
      <w:r>
        <w:t xml:space="preserve"> </w:t>
      </w:r>
      <w:r>
        <w:rPr>
          <w:b/>
          <w:bCs/>
        </w:rPr>
        <w:t xml:space="preserve">2%–4.5%</w:t>
      </w:r>
      <w:r>
        <w:t xml:space="preserve">.</w:t>
      </w:r>
    </w:p>
    <w:p>
      <w:pPr>
        <w:pStyle w:val="Compact"/>
        <w:numPr>
          <w:ilvl w:val="0"/>
          <w:numId w:val="1005"/>
        </w:numPr>
      </w:pPr>
      <w:r>
        <w:t xml:space="preserve">Adjusted EPS of</w:t>
      </w:r>
      <w:r>
        <w:t xml:space="preserve"> </w:t>
      </w:r>
      <m:oMath>
        <m:r>
          <m:t>7.50</m:t>
        </m:r>
        <m:r>
          <m:rPr>
            <m:sty m:val="p"/>
          </m:rPr>
          <m:t>–</m:t>
        </m:r>
      </m:oMath>
      <w:r>
        <w:rPr>
          <w:b/>
          <w:bCs/>
        </w:rPr>
        <w:t xml:space="preserve">8.00</w:t>
      </w:r>
      <w:r>
        <w:t xml:space="preserve">.</w:t>
      </w:r>
    </w:p>
    <w:p>
      <w:pPr>
        <w:pStyle w:val="Compact"/>
        <w:numPr>
          <w:ilvl w:val="0"/>
          <w:numId w:val="1005"/>
        </w:numPr>
      </w:pPr>
      <w:r>
        <w:t xml:space="preserve">Free cash flow of</w:t>
      </w:r>
      <w:r>
        <w:t xml:space="preserve"> </w:t>
      </w:r>
      <m:oMath>
        <m:r>
          <m:t>550</m:t>
        </m:r>
        <m:r>
          <m:t>m</m:t>
        </m:r>
        <m:r>
          <m:t>i</m:t>
        </m:r>
        <m:r>
          <m:t>l</m:t>
        </m:r>
        <m:r>
          <m:t>l</m:t>
        </m:r>
        <m:r>
          <m:t>i</m:t>
        </m:r>
        <m:r>
          <m:t>o</m:t>
        </m:r>
        <m:r>
          <m:t>n</m:t>
        </m:r>
        <m:r>
          <m:rPr>
            <m:sty m:val="p"/>
          </m:rPr>
          <m:t>–</m:t>
        </m:r>
      </m:oMath>
      <w:r>
        <w:rPr>
          <w:b/>
          <w:bCs/>
        </w:rPr>
        <w:t xml:space="preserve">700 million</w:t>
      </w:r>
      <w:r>
        <w:t xml:space="preserve">.</w:t>
      </w:r>
    </w:p>
    <w:p>
      <w:pPr>
        <w:pStyle w:val="Compact"/>
        <w:numPr>
          <w:ilvl w:val="0"/>
          <w:numId w:val="1005"/>
        </w:numPr>
      </w:pPr>
      <w:r>
        <w:t xml:space="preserve">Industrial EBITDA of</w:t>
      </w:r>
      <w:r>
        <w:t xml:space="preserve"> </w:t>
      </w:r>
      <m:oMath>
        <m:r>
          <m:t>1.22</m:t>
        </m:r>
        <m:r>
          <m:t>b</m:t>
        </m:r>
        <m:r>
          <m:t>i</m:t>
        </m:r>
        <m:r>
          <m:t>l</m:t>
        </m:r>
        <m:r>
          <m:t>l</m:t>
        </m:r>
        <m:r>
          <m:t>i</m:t>
        </m:r>
        <m:r>
          <m:t>o</m:t>
        </m:r>
        <m:r>
          <m:t>n</m:t>
        </m:r>
        <m:r>
          <m:rPr>
            <m:sty m:val="p"/>
          </m:rPr>
          <m:t>–</m:t>
        </m:r>
      </m:oMath>
      <w:r>
        <w:rPr>
          <w:b/>
          <w:bCs/>
        </w:rPr>
        <w:t xml:space="preserve">1.28 billion</w:t>
      </w:r>
      <w:r>
        <w:t xml:space="preserve">.</w:t>
      </w:r>
    </w:p>
    <w:p>
      <w:pPr>
        <w:pStyle w:val="Compact"/>
        <w:numPr>
          <w:ilvl w:val="0"/>
          <w:numId w:val="1005"/>
        </w:numPr>
      </w:pPr>
      <w:r>
        <w:t xml:space="preserve">Global Automotive EBITDA of</w:t>
      </w:r>
      <w:r>
        <w:t xml:space="preserve"> </w:t>
      </w:r>
      <m:oMath>
        <m:r>
          <m:t>1.26</m:t>
        </m:r>
        <m:r>
          <m:t>b</m:t>
        </m:r>
        <m:r>
          <m:t>i</m:t>
        </m:r>
        <m:r>
          <m:t>l</m:t>
        </m:r>
        <m:r>
          <m:t>l</m:t>
        </m:r>
        <m:r>
          <m:t>i</m:t>
        </m:r>
        <m:r>
          <m:t>o</m:t>
        </m:r>
        <m:r>
          <m:t>n</m:t>
        </m:r>
        <m:r>
          <m:rPr>
            <m:sty m:val="p"/>
          </m:rPr>
          <m:t>–</m:t>
        </m:r>
      </m:oMath>
      <w:r>
        <w:rPr>
          <w:b/>
          <w:bCs/>
        </w:rPr>
        <w:t xml:space="preserve">1.33 billion</w:t>
      </w:r>
      <w:r>
        <w:t xml:space="preserve">. (</w:t>
      </w:r>
      <w:hyperlink r:id="rId13">
        <w:r>
          <w:rPr>
            <w:rStyle w:val="Hyperlink"/>
          </w:rPr>
          <w:t xml:space="preserve">filecache.investorroom.com</w:t>
        </w:r>
      </w:hyperlink>
      <w:r>
        <w:t xml:space="preserve">)</w:t>
      </w:r>
    </w:p>
    <w:p>
      <w:pPr>
        <w:pStyle w:val="FirstParagraph"/>
      </w:pPr>
      <w:r>
        <w:t xml:space="preserve">If GPC produces the consensus Q2 EPS of $2.10, first-half adjusted EPS would be $3.87. Reaching the</w:t>
      </w:r>
      <w:r>
        <w:t xml:space="preserve"> </w:t>
      </w:r>
      <m:oMath>
        <m:r>
          <m:t>7.75</m:t>
        </m:r>
        <m:r>
          <m:t>m</m:t>
        </m:r>
        <m:r>
          <m:t>i</m:t>
        </m:r>
        <m:r>
          <m:t>d</m:t>
        </m:r>
        <m:r>
          <m:t>p</m:t>
        </m:r>
        <m:r>
          <m:t>o</m:t>
        </m:r>
        <m:r>
          <m:t>i</m:t>
        </m:r>
        <m:r>
          <m:t>n</m:t>
        </m:r>
        <m:r>
          <m:t>t</m:t>
        </m:r>
        <m:r>
          <m:t>w</m:t>
        </m:r>
        <m:r>
          <m:t>o</m:t>
        </m:r>
        <m:r>
          <m:t>u</m:t>
        </m:r>
        <m:r>
          <m:t>l</m:t>
        </m:r>
        <m:r>
          <m:t>d</m:t>
        </m:r>
        <m:r>
          <m:t>t</m:t>
        </m:r>
        <m:r>
          <m:t>h</m:t>
        </m:r>
        <m:r>
          <m:t>e</m:t>
        </m:r>
        <m:r>
          <m:t>n</m:t>
        </m:r>
        <m:r>
          <m:t>r</m:t>
        </m:r>
        <m:r>
          <m:t>e</m:t>
        </m:r>
        <m:r>
          <m:t>q</m:t>
        </m:r>
        <m:r>
          <m:t>u</m:t>
        </m:r>
        <m:r>
          <m:t>i</m:t>
        </m:r>
        <m:r>
          <m:t>r</m:t>
        </m:r>
        <m:r>
          <m:t>e</m:t>
        </m:r>
        <m:r>
          <m:rPr>
            <m:sty m:val="p"/>
          </m:rPr>
          <m:t>*</m:t>
        </m:r>
        <m:r>
          <m:rPr>
            <m:sty m:val="p"/>
          </m:rPr>
          <m:t>*</m:t>
        </m:r>
      </m:oMath>
      <w:r>
        <w:t xml:space="preserve">3.88 in second-half EPS**, approximately 10% above the $3.53 generated in Q3 and Q4 of 2025. That appears attainable if restructuring savings build and the Industrial business stays strong, but it leaves limited room for renewed automotive margin deterioration. (</w:t>
      </w:r>
      <w:hyperlink r:id="rId13">
        <w:r>
          <w:rPr>
            <w:rStyle w:val="Hyperlink"/>
          </w:rPr>
          <w:t xml:space="preserve">filecache.investorroom.com</w:t>
        </w:r>
      </w:hyperlink>
      <w:r>
        <w:t xml:space="preserve">)</w:t>
      </w:r>
    </w:p>
    <w:p>
      <w:pPr>
        <w:pStyle w:val="BodyText"/>
      </w:pPr>
      <w:r>
        <w:t xml:space="preserve">The likely reaction hierarchy:</w:t>
      </w:r>
    </w:p>
    <w:p>
      <w:pPr>
        <w:pStyle w:val="Compact"/>
        <w:numPr>
          <w:ilvl w:val="0"/>
          <w:numId w:val="1006"/>
        </w:numPr>
      </w:pPr>
      <w:r>
        <w:rPr>
          <w:b/>
          <w:bCs/>
        </w:rPr>
        <w:t xml:space="preserve">Guidance raised:</w:t>
      </w:r>
      <w:r>
        <w:t xml:space="preserve"> </w:t>
      </w:r>
      <w:r>
        <w:t xml:space="preserve">clearly positive, particularly if driven by operations rather than currency.</w:t>
      </w:r>
    </w:p>
    <w:p>
      <w:pPr>
        <w:pStyle w:val="Compact"/>
        <w:numPr>
          <w:ilvl w:val="0"/>
          <w:numId w:val="1006"/>
        </w:numPr>
      </w:pPr>
      <w:r>
        <w:rPr>
          <w:b/>
          <w:bCs/>
        </w:rPr>
        <w:t xml:space="preserve">Guidance reaffirmed with confidence in the midpoint:</w:t>
      </w:r>
      <w:r>
        <w:t xml:space="preserve"> </w:t>
      </w:r>
      <w:r>
        <w:t xml:space="preserve">modestly positive.</w:t>
      </w:r>
    </w:p>
    <w:p>
      <w:pPr>
        <w:pStyle w:val="Compact"/>
        <w:numPr>
          <w:ilvl w:val="0"/>
          <w:numId w:val="1006"/>
        </w:numPr>
      </w:pPr>
      <w:r>
        <w:rPr>
          <w:b/>
          <w:bCs/>
        </w:rPr>
        <w:t xml:space="preserve">Guidance maintained but management emphasizes the low end:</w:t>
      </w:r>
      <w:r>
        <w:t xml:space="preserve"> </w:t>
      </w:r>
      <w:r>
        <w:t xml:space="preserve">effectively a soft reduction.</w:t>
      </w:r>
    </w:p>
    <w:p>
      <w:pPr>
        <w:pStyle w:val="Compact"/>
        <w:numPr>
          <w:ilvl w:val="0"/>
          <w:numId w:val="1006"/>
        </w:numPr>
      </w:pPr>
      <w:r>
        <w:rPr>
          <w:b/>
          <w:bCs/>
        </w:rPr>
        <w:t xml:space="preserve">Guidance cut:</w:t>
      </w:r>
      <w:r>
        <w:t xml:space="preserve"> </w:t>
      </w:r>
      <w:r>
        <w:t xml:space="preserve">materially negative unless paired with a compelling strategic transaction.</w:t>
      </w:r>
    </w:p>
    <w:bookmarkEnd w:id="18"/>
    <w:bookmarkStart w:id="20" w:name="Xceb6cdc7cba0216ec87e1d89fa4517056ea27fe"/>
    <w:p>
      <w:pPr>
        <w:pStyle w:val="Heading3"/>
      </w:pPr>
      <w:r>
        <w:t xml:space="preserve">5. The O’Reilly report may overshadow earnings</w:t>
      </w:r>
    </w:p>
    <w:p>
      <w:pPr>
        <w:pStyle w:val="FirstParagraph"/>
      </w:pPr>
      <w:r>
        <w:t xml:space="preserve">On July 2, Bloomberg reported that O’Reilly Automotive had expressed cash interest in GPC’s automotive business, potentially valuing it at</w:t>
      </w:r>
      <w:r>
        <w:t xml:space="preserve"> </w:t>
      </w:r>
      <w:r>
        <w:rPr>
          <w:b/>
          <w:bCs/>
        </w:rPr>
        <w:t xml:space="preserve">$10 billion or more</w:t>
      </w:r>
      <w:r>
        <w:t xml:space="preserve">. The report has not been publicly confirmed by GPC. (</w:t>
      </w:r>
      <w:hyperlink r:id="rId19">
        <w:r>
          <w:rPr>
            <w:rStyle w:val="Hyperlink"/>
          </w:rPr>
          <w:t xml:space="preserve">news.bloomberglaw.com</w:t>
        </w:r>
      </w:hyperlink>
      <w:r>
        <w:t xml:space="preserve">)</w:t>
      </w:r>
    </w:p>
    <w:p>
      <w:pPr>
        <w:pStyle w:val="BodyText"/>
      </w:pPr>
      <w:r>
        <w:t xml:space="preserve">This matters because GPC had been pursuing a separation of Global Automotive and Global Industrial into two publicly traded companies, targeted for Q1 2027. Management previously estimated that the separation would create</w:t>
      </w:r>
      <w:r>
        <w:t xml:space="preserve"> </w:t>
      </w:r>
      <m:oMath>
        <m:r>
          <m:t>100</m:t>
        </m:r>
        <m:r>
          <m:t>m</m:t>
        </m:r>
        <m:r>
          <m:t>i</m:t>
        </m:r>
        <m:r>
          <m:t>l</m:t>
        </m:r>
        <m:r>
          <m:t>l</m:t>
        </m:r>
        <m:r>
          <m:t>i</m:t>
        </m:r>
        <m:r>
          <m:t>o</m:t>
        </m:r>
        <m:r>
          <m:t>n</m:t>
        </m:r>
        <m:r>
          <m:rPr>
            <m:sty m:val="p"/>
          </m:rPr>
          <m:t>–</m:t>
        </m:r>
      </m:oMath>
      <w:r>
        <w:rPr>
          <w:b/>
          <w:bCs/>
        </w:rPr>
        <w:t xml:space="preserve">150 million of incremental run-rate dis-synergies and stand-alone costs</w:t>
      </w:r>
      <w:r>
        <w:t xml:space="preserve">, excluding existing corporate overhead and one-time transaction expenses. (</w:t>
      </w:r>
      <w:hyperlink r:id="rId13">
        <w:r>
          <w:rPr>
            <w:rStyle w:val="Hyperlink"/>
          </w:rPr>
          <w:t xml:space="preserve">filecache.investorroom.com</w:t>
        </w:r>
      </w:hyperlink>
      <w:r>
        <w:t xml:space="preserve">)</w:t>
      </w:r>
    </w:p>
    <w:p>
      <w:pPr>
        <w:pStyle w:val="BodyText"/>
      </w:pPr>
      <w:r>
        <w:t xml:space="preserve">Analysts are likely to ask:</w:t>
      </w:r>
    </w:p>
    <w:p>
      <w:pPr>
        <w:pStyle w:val="Compact"/>
        <w:numPr>
          <w:ilvl w:val="0"/>
          <w:numId w:val="1007"/>
        </w:numPr>
      </w:pPr>
      <w:r>
        <w:t xml:space="preserve">Does the board remain committed to the spin-off?</w:t>
      </w:r>
    </w:p>
    <w:p>
      <w:pPr>
        <w:pStyle w:val="Compact"/>
        <w:numPr>
          <w:ilvl w:val="0"/>
          <w:numId w:val="1007"/>
        </w:numPr>
      </w:pPr>
      <w:r>
        <w:t xml:space="preserve">Has GPC received strategic interest in either business?</w:t>
      </w:r>
    </w:p>
    <w:p>
      <w:pPr>
        <w:pStyle w:val="Compact"/>
        <w:numPr>
          <w:ilvl w:val="0"/>
          <w:numId w:val="1007"/>
        </w:numPr>
      </w:pPr>
      <w:r>
        <w:t xml:space="preserve">Would a sale produce greater after-tax value than a tax-efficient separation?</w:t>
      </w:r>
    </w:p>
    <w:p>
      <w:pPr>
        <w:pStyle w:val="Compact"/>
        <w:numPr>
          <w:ilvl w:val="0"/>
          <w:numId w:val="1007"/>
        </w:numPr>
      </w:pPr>
      <w:r>
        <w:t xml:space="preserve">Could antitrust concerns or store overlap prevent a transaction?</w:t>
      </w:r>
    </w:p>
    <w:p>
      <w:pPr>
        <w:pStyle w:val="Compact"/>
        <w:numPr>
          <w:ilvl w:val="0"/>
          <w:numId w:val="1007"/>
        </w:numPr>
      </w:pPr>
      <w:r>
        <w:t xml:space="preserve">What would GPC do with potential proceeds—repay debt, repurchase shares, fund Motion acquisitions or pay a special dividend?</w:t>
      </w:r>
    </w:p>
    <w:p>
      <w:pPr>
        <w:pStyle w:val="Compact"/>
        <w:numPr>
          <w:ilvl w:val="0"/>
          <w:numId w:val="1007"/>
        </w:numPr>
      </w:pPr>
      <w:r>
        <w:t xml:space="preserve">Has the reported interest changed the separation timeline or planned Investor Days?</w:t>
      </w:r>
    </w:p>
    <w:p>
      <w:pPr>
        <w:pStyle w:val="FirstParagraph"/>
      </w:pPr>
      <w:r>
        <w:t xml:space="preserve">Management may decline to discuss market speculation. Even so, its wording will matter. A firm recommitment to the spin would reduce near-term takeover expectations; language emphasizing a fiduciary duty to consider alternatives would preserve optionality.</w:t>
      </w:r>
    </w:p>
    <w:bookmarkEnd w:id="20"/>
    <w:bookmarkEnd w:id="21"/>
    <w:bookmarkStart w:id="23" w:name="stock-setup"/>
    <w:p>
      <w:pPr>
        <w:pStyle w:val="Heading2"/>
      </w:pPr>
      <w:r>
        <w:t xml:space="preserve">Stock setup</w:t>
      </w:r>
    </w:p>
    <w:p>
      <w:pPr>
        <w:pStyle w:val="FirstParagraph"/>
      </w:pPr>
      <w:r>
        <w:t xml:space="preserve">GPC closed July 20 near</w:t>
      </w:r>
      <w:r>
        <w:t xml:space="preserve"> </w:t>
      </w:r>
      <w:r>
        <w:rPr>
          <w:b/>
          <w:bCs/>
        </w:rPr>
        <w:t xml:space="preserve">$122.43</w:t>
      </w:r>
      <w:r>
        <w:t xml:space="preserve">. The shares remain roughly flat versus the start of 2026 and about 18% below their February high, despite the sharp July 2 rally following the reported O’Reilly interest. Based on a roughly $7.69 full-year consensus EPS estimate, the stock trades near</w:t>
      </w:r>
      <w:r>
        <w:t xml:space="preserve"> </w:t>
      </w:r>
      <w:r>
        <w:rPr>
          <w:b/>
          <w:bCs/>
        </w:rPr>
        <w:t xml:space="preserve">16 times 2026 earnings</w:t>
      </w:r>
      <w:r>
        <w:t xml:space="preserve">. (</w:t>
      </w:r>
      <w:hyperlink r:id="rId22">
        <w:r>
          <w:rPr>
            <w:rStyle w:val="Hyperlink"/>
          </w:rPr>
          <w:t xml:space="preserve">barchart.com</w:t>
        </w:r>
      </w:hyperlink>
      <w:r>
        <w:t xml:space="preserve">)</w:t>
      </w:r>
    </w:p>
    <w:p>
      <w:pPr>
        <w:pStyle w:val="BodyText"/>
      </w:pPr>
      <w:r>
        <w:t xml:space="preserve">That valuation is not extreme, but the earnings multiple alone is an incomplete framework because the investment case now includes potential break-up or transaction value. Consequently, the stock may react more strongly to comments about the automotive business than to a small EPS beat.</w:t>
      </w:r>
    </w:p>
    <w:bookmarkEnd w:id="23"/>
    <w:bookmarkStart w:id="27" w:name="scenario-framework"/>
    <w:p>
      <w:pPr>
        <w:pStyle w:val="Heading2"/>
      </w:pPr>
      <w:r>
        <w:t xml:space="preserve">Scenario framework</w:t>
      </w:r>
    </w:p>
    <w:bookmarkStart w:id="24" w:name="bull-case"/>
    <w:p>
      <w:pPr>
        <w:pStyle w:val="Heading3"/>
      </w:pPr>
      <w:r>
        <w:t xml:space="preserve">Bull case</w:t>
      </w:r>
    </w:p>
    <w:p>
      <w:pPr>
        <w:pStyle w:val="Compact"/>
        <w:numPr>
          <w:ilvl w:val="0"/>
          <w:numId w:val="1008"/>
        </w:numPr>
      </w:pPr>
      <w:r>
        <w:t xml:space="preserve">Revenue above $6.43 billion and EPS above $2.10.</w:t>
      </w:r>
    </w:p>
    <w:p>
      <w:pPr>
        <w:pStyle w:val="Compact"/>
        <w:numPr>
          <w:ilvl w:val="0"/>
          <w:numId w:val="1008"/>
        </w:numPr>
      </w:pPr>
      <w:r>
        <w:t xml:space="preserve">Industrial EBITDA margin at or above roughly 13.3%.</w:t>
      </w:r>
    </w:p>
    <w:p>
      <w:pPr>
        <w:pStyle w:val="Compact"/>
        <w:numPr>
          <w:ilvl w:val="0"/>
          <w:numId w:val="1008"/>
        </w:numPr>
      </w:pPr>
      <w:r>
        <w:t xml:space="preserve">Automotive EBITDA comfortably above $339 million.</w:t>
      </w:r>
    </w:p>
    <w:p>
      <w:pPr>
        <w:pStyle w:val="Compact"/>
        <w:numPr>
          <w:ilvl w:val="0"/>
          <w:numId w:val="1008"/>
        </w:numPr>
      </w:pPr>
      <w:r>
        <w:t xml:space="preserve">Full-year guidance reaffirmed with upside bias or increased.</w:t>
      </w:r>
    </w:p>
    <w:p>
      <w:pPr>
        <w:pStyle w:val="Compact"/>
        <w:numPr>
          <w:ilvl w:val="0"/>
          <w:numId w:val="1008"/>
        </w:numPr>
      </w:pPr>
      <w:r>
        <w:t xml:space="preserve">Management confirms accelerating restructuring savings.</w:t>
      </w:r>
    </w:p>
    <w:p>
      <w:pPr>
        <w:pStyle w:val="Compact"/>
        <w:numPr>
          <w:ilvl w:val="0"/>
          <w:numId w:val="1008"/>
        </w:numPr>
      </w:pPr>
      <w:r>
        <w:t xml:space="preserve">Constructive update on strategic alternatives or separation value.</w:t>
      </w:r>
    </w:p>
    <w:bookmarkEnd w:id="24"/>
    <w:bookmarkStart w:id="25" w:name="base-case"/>
    <w:p>
      <w:pPr>
        <w:pStyle w:val="Heading3"/>
      </w:pPr>
      <w:r>
        <w:t xml:space="preserve">Base case</w:t>
      </w:r>
    </w:p>
    <w:p>
      <w:pPr>
        <w:pStyle w:val="Compact"/>
        <w:numPr>
          <w:ilvl w:val="0"/>
          <w:numId w:val="1009"/>
        </w:numPr>
      </w:pPr>
      <w:r>
        <w:t xml:space="preserve">Revenue and EPS close to consensus.</w:t>
      </w:r>
    </w:p>
    <w:p>
      <w:pPr>
        <w:pStyle w:val="Compact"/>
        <w:numPr>
          <w:ilvl w:val="0"/>
          <w:numId w:val="1009"/>
        </w:numPr>
      </w:pPr>
      <w:r>
        <w:t xml:space="preserve">Industrial remains strong while Automotive margins remain mixed.</w:t>
      </w:r>
    </w:p>
    <w:p>
      <w:pPr>
        <w:pStyle w:val="Compact"/>
        <w:numPr>
          <w:ilvl w:val="0"/>
          <w:numId w:val="1009"/>
        </w:numPr>
      </w:pPr>
      <w:r>
        <w:t xml:space="preserve">Q2 cost pressures are described as manageable.</w:t>
      </w:r>
    </w:p>
    <w:p>
      <w:pPr>
        <w:pStyle w:val="Compact"/>
        <w:numPr>
          <w:ilvl w:val="0"/>
          <w:numId w:val="1009"/>
        </w:numPr>
      </w:pPr>
      <w:r>
        <w:t xml:space="preserve">Full-year guidance is reiterated.</w:t>
      </w:r>
    </w:p>
    <w:p>
      <w:pPr>
        <w:pStyle w:val="Compact"/>
        <w:numPr>
          <w:ilvl w:val="0"/>
          <w:numId w:val="1009"/>
        </w:numPr>
      </w:pPr>
      <w:r>
        <w:t xml:space="preserve">Management declines to discuss the reported O’Reilly bid and maintains the Q1 2027 separation timeline.</w:t>
      </w:r>
    </w:p>
    <w:bookmarkEnd w:id="25"/>
    <w:bookmarkStart w:id="26" w:name="bear-case"/>
    <w:p>
      <w:pPr>
        <w:pStyle w:val="Heading3"/>
      </w:pPr>
      <w:r>
        <w:t xml:space="preserve">Bear case</w:t>
      </w:r>
    </w:p>
    <w:p>
      <w:pPr>
        <w:pStyle w:val="Compact"/>
        <w:numPr>
          <w:ilvl w:val="0"/>
          <w:numId w:val="1010"/>
        </w:numPr>
      </w:pPr>
      <w:r>
        <w:t xml:space="preserve">Automotive sales are driven mainly by price, with weak volumes.</w:t>
      </w:r>
    </w:p>
    <w:p>
      <w:pPr>
        <w:pStyle w:val="Compact"/>
        <w:numPr>
          <w:ilvl w:val="0"/>
          <w:numId w:val="1010"/>
        </w:numPr>
      </w:pPr>
      <w:r>
        <w:t xml:space="preserve">International Automotive margin contracts again.</w:t>
      </w:r>
    </w:p>
    <w:p>
      <w:pPr>
        <w:pStyle w:val="Compact"/>
        <w:numPr>
          <w:ilvl w:val="0"/>
          <w:numId w:val="1010"/>
        </w:numPr>
      </w:pPr>
      <w:r>
        <w:t xml:space="preserve">Industrial growth or margin expansion slows materially.</w:t>
      </w:r>
    </w:p>
    <w:p>
      <w:pPr>
        <w:pStyle w:val="Compact"/>
        <w:numPr>
          <w:ilvl w:val="0"/>
          <w:numId w:val="1010"/>
        </w:numPr>
      </w:pPr>
      <w:r>
        <w:t xml:space="preserve">Q2 freight and input-cost pressures extend into Q3.</w:t>
      </w:r>
    </w:p>
    <w:p>
      <w:pPr>
        <w:pStyle w:val="Compact"/>
        <w:numPr>
          <w:ilvl w:val="0"/>
          <w:numId w:val="1010"/>
        </w:numPr>
      </w:pPr>
      <w:r>
        <w:t xml:space="preserve">Management guides investors toward the bottom of the EPS range or cuts guidance.</w:t>
      </w:r>
    </w:p>
    <w:p>
      <w:pPr>
        <w:pStyle w:val="Compact"/>
        <w:numPr>
          <w:ilvl w:val="0"/>
          <w:numId w:val="1010"/>
        </w:numPr>
      </w:pPr>
      <w:r>
        <w:t xml:space="preserve">Separation costs rise without a clear path to offsetting them.</w:t>
      </w:r>
    </w:p>
    <w:bookmarkEnd w:id="26"/>
    <w:bookmarkEnd w:id="27"/>
    <w:bookmarkStart w:id="28" w:name="bottom-line"/>
    <w:p>
      <w:pPr>
        <w:pStyle w:val="Heading2"/>
      </w:pPr>
      <w:r>
        <w:t xml:space="preserve">Bottom line</w:t>
      </w:r>
    </w:p>
    <w:p>
      <w:pPr>
        <w:pStyle w:val="FirstParagraph"/>
      </w:pPr>
      <w:r>
        <w:t xml:space="preserve">The cleanest positive outcome is</w:t>
      </w:r>
      <w:r>
        <w:t xml:space="preserve"> </w:t>
      </w:r>
      <w:r>
        <w:rPr>
          <w:b/>
          <w:bCs/>
        </w:rPr>
        <w:t xml:space="preserve">an ordinary earnings beat plus unchanged or stronger guidance</w:t>
      </w:r>
      <w:r>
        <w:t xml:space="preserve">, supported by sustained Industrial margins and visible progress in Automotive profitability. But the larger share-price catalyst is likely to be what management says—or conspicuously does not say—about the future of the automotive business.</w:t>
      </w:r>
    </w:p>
    <w:p>
      <w:pPr>
        <w:pStyle w:val="BodyText"/>
      </w:pPr>
      <w:r>
        <w:t xml:space="preserve">For this report, the most important numbers are not necessarily consolidated EPS and revenue. They are:</w:t>
      </w:r>
    </w:p>
    <w:p>
      <w:pPr>
        <w:pStyle w:val="Compact"/>
        <w:numPr>
          <w:ilvl w:val="0"/>
          <w:numId w:val="1011"/>
        </w:numPr>
      </w:pPr>
      <w:r>
        <w:rPr>
          <w:b/>
          <w:bCs/>
        </w:rPr>
        <w:t xml:space="preserve">Industrial EBITDA margin</w:t>
      </w:r>
    </w:p>
    <w:p>
      <w:pPr>
        <w:pStyle w:val="Compact"/>
        <w:numPr>
          <w:ilvl w:val="0"/>
          <w:numId w:val="1011"/>
        </w:numPr>
      </w:pPr>
      <w:r>
        <w:rPr>
          <w:b/>
          <w:bCs/>
        </w:rPr>
        <w:t xml:space="preserve">Automotive EBITDA versus the approximately $339 million consensus</w:t>
      </w:r>
    </w:p>
    <w:p>
      <w:pPr>
        <w:pStyle w:val="Compact"/>
        <w:numPr>
          <w:ilvl w:val="0"/>
          <w:numId w:val="1011"/>
        </w:numPr>
      </w:pPr>
      <w:r>
        <w:rPr>
          <w:b/>
          <w:bCs/>
        </w:rPr>
        <w:t xml:space="preserve">Gross-margin and SG&amp;A progress</w:t>
      </w:r>
    </w:p>
    <w:p>
      <w:pPr>
        <w:pStyle w:val="Compact"/>
        <w:numPr>
          <w:ilvl w:val="0"/>
          <w:numId w:val="1011"/>
        </w:numPr>
      </w:pPr>
      <w:r>
        <w:rPr>
          <w:b/>
          <w:bCs/>
        </w:rPr>
        <w:t xml:space="preserve">Full-year EPS and free-cash-flow guidance</w:t>
      </w:r>
    </w:p>
    <w:p>
      <w:pPr>
        <w:pStyle w:val="Compact"/>
        <w:numPr>
          <w:ilvl w:val="0"/>
          <w:numId w:val="1011"/>
        </w:numPr>
      </w:pPr>
      <w:r>
        <w:rPr>
          <w:b/>
          <w:bCs/>
        </w:rPr>
        <w:t xml:space="preserve">Any change in strategic language surrounding the separation or reported O’Reilly interest</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filecache.investorroom.com/mr5ir_genuineparts/1165/GPC_Q126_Earnings_Presentation.pdf" TargetMode="External" /><Relationship Type="http://schemas.openxmlformats.org/officeDocument/2006/relationships/hyperlink" Id="rId19" Target="https://news.bloomberglaw.com/mergers-and-acquisitions/genuine-parts-is-said-to-receive-oreilly-interest-for-auto-unit?utm_source=openai" TargetMode="External" /><Relationship Type="http://schemas.openxmlformats.org/officeDocument/2006/relationships/hyperlink" Id="rId22" Target="https://www.barchart.com/stocks/quotes/GPC/earnings-estimates?utm_source=openai" TargetMode="External" /><Relationship Type="http://schemas.openxmlformats.org/officeDocument/2006/relationships/hyperlink" Id="rId16" Target="https://www.fool.com/earnings/call-transcripts/2026/04/21/genuine-parts-gpc-q1-2026-earnings-transcript/?utm_source=openai" TargetMode="External" /><Relationship Type="http://schemas.openxmlformats.org/officeDocument/2006/relationships/hyperlink" Id="rId9" Target="https://www.genpt.com/2026-06-30-Genuine-Parts-Company-to-Report-Second-Quarter-2026-Results-on-July-21%2C-2026?utm_source=openai" TargetMode="External" /><Relationship Type="http://schemas.openxmlformats.org/officeDocument/2006/relationships/hyperlink" Id="rId11" Target="https://www.marketbeat.com/earnings/reports/2026-7-21-genuine-parts-stock/?utm_source=openai" TargetMode="External" /></Relationships>
</file>

<file path=word/_rels/footnotes.xml.rels><?xml version="1.0" encoding="UTF-8"?><Relationships xmlns="http://schemas.openxmlformats.org/package/2006/relationships"><Relationship Type="http://schemas.openxmlformats.org/officeDocument/2006/relationships/hyperlink" Id="rId13" Target="https://filecache.investorroom.com/mr5ir_genuineparts/1165/GPC_Q126_Earnings_Presentation.pdf" TargetMode="External" /><Relationship Type="http://schemas.openxmlformats.org/officeDocument/2006/relationships/hyperlink" Id="rId19" Target="https://news.bloomberglaw.com/mergers-and-acquisitions/genuine-parts-is-said-to-receive-oreilly-interest-for-auto-unit?utm_source=openai" TargetMode="External" /><Relationship Type="http://schemas.openxmlformats.org/officeDocument/2006/relationships/hyperlink" Id="rId22" Target="https://www.barchart.com/stocks/quotes/GPC/earnings-estimates?utm_source=openai" TargetMode="External" /><Relationship Type="http://schemas.openxmlformats.org/officeDocument/2006/relationships/hyperlink" Id="rId16" Target="https://www.fool.com/earnings/call-transcripts/2026/04/21/genuine-parts-gpc-q1-2026-earnings-transcript/?utm_source=openai" TargetMode="External" /><Relationship Type="http://schemas.openxmlformats.org/officeDocument/2006/relationships/hyperlink" Id="rId9" Target="https://www.genpt.com/2026-06-30-Genuine-Parts-Company-to-Report-Second-Quarter-2026-Results-on-July-21%2C-2026?utm_source=openai" TargetMode="External" /><Relationship Type="http://schemas.openxmlformats.org/officeDocument/2006/relationships/hyperlink" Id="rId11" Target="https://www.marketbeat.com/earnings/reports/2026-7-21-genuine-parts-stock/?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2026-07-21T00:26:07Z</dcterms:created>
  <dcterms:modified xsi:type="dcterms:W3CDTF">2026-07-21T00:26:07Z</dcterms:modified>
</cp:coreProperties>
</file>

<file path=docProps/custom.xml><?xml version="1.0" encoding="utf-8"?>
<Properties xmlns="http://schemas.openxmlformats.org/officeDocument/2006/custom-properties" xmlns:vt="http://schemas.openxmlformats.org/officeDocument/2006/docPropsVTypes"/>
</file>