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ec38b437ab58f08a4862bf5a367b5aeb6128ea9"/>
    <w:p>
      <w:pPr>
        <w:pStyle w:val="Heading1"/>
      </w:pPr>
      <w:r>
        <w:t xml:space="preserve">Genuine Parts Company (NYSE: GPC) — 2Q26 Earnings Preview</w:t>
      </w:r>
    </w:p>
    <w:p>
      <w:pPr>
        <w:pStyle w:val="BlockText"/>
      </w:pPr>
      <w:r>
        <w:rPr>
          <w:b/>
          <w:bCs/>
        </w:rPr>
        <w:t xml:space="preserve">Date correction:</w:t>
      </w:r>
      <w:r>
        <w:t xml:space="preserve"> </w:t>
      </w:r>
      <w:r>
        <w:t xml:space="preserve">GPC is scheduled to report</w:t>
      </w:r>
      <w:r>
        <w:t xml:space="preserve"> </w:t>
      </w:r>
      <w:r>
        <w:rPr>
          <w:b/>
          <w:bCs/>
        </w:rPr>
        <w:t xml:space="preserve">today, Tuesday, July 21, 2026</w:t>
      </w:r>
      <w:r>
        <w:t xml:space="preserve">, rather than tomorrow. Results are due before the company’s</w:t>
      </w:r>
      <w:r>
        <w:t xml:space="preserve"> </w:t>
      </w:r>
      <w:r>
        <w:rPr>
          <w:b/>
          <w:bCs/>
        </w:rPr>
        <w:t xml:space="preserve">8:30 a.m. ET</w:t>
      </w:r>
      <w:r>
        <w:t xml:space="preserve"> </w:t>
      </w:r>
      <w:r>
        <w:t xml:space="preserve">conference call.</w:t>
      </w:r>
      <w:r>
        <w:br/>
      </w:r>
      <w:r>
        <w:rPr>
          <w:i/>
          <w:iCs/>
        </w:rPr>
        <w:t xml:space="preserve">This is a pre-results framework based on the latest reported quarter and management commentary.</w:t>
      </w:r>
    </w:p>
    <w:bookmarkStart w:id="9" w:name="investment-framing"/>
    <w:p>
      <w:pPr>
        <w:pStyle w:val="Heading2"/>
      </w:pPr>
      <w:r>
        <w:t xml:space="preserve">Investment framing</w:t>
      </w:r>
    </w:p>
    <w:p>
      <w:pPr>
        <w:pStyle w:val="FirstParagraph"/>
      </w:pPr>
      <w:r>
        <w:t xml:space="preserve">GPC enters 2Q with a mixed but potentially improving setup: its core operating businesses showed sequential sales improvement in 1Q, Industrial posted particularly strong margin expansion, and management reaffirmed full-year guidance. However, the market remains focused on whether cost inflation, freight/fuel pressure, muted European demand, and separation-related costs will dilute the earnings power of the eventual Automotive and Industrial stand-alone companies.</w:t>
      </w:r>
    </w:p>
    <w:p>
      <w:pPr>
        <w:pStyle w:val="BodyText"/>
      </w:pPr>
      <w:r>
        <w:t xml:space="preserve">The key question is therefore</w:t>
      </w:r>
      <w:r>
        <w:t xml:space="preserve"> </w:t>
      </w:r>
      <w:r>
        <w:rPr>
          <w:b/>
          <w:bCs/>
        </w:rPr>
        <w:t xml:space="preserve">not simply whether GPC beats 2Q EPS</w:t>
      </w:r>
      <w:r>
        <w:t xml:space="preserve">. It is whether the company can demonstrate that:</w:t>
      </w:r>
    </w:p>
    <w:p>
      <w:pPr>
        <w:pStyle w:val="Compact"/>
        <w:numPr>
          <w:ilvl w:val="0"/>
          <w:numId w:val="1001"/>
        </w:numPr>
      </w:pPr>
      <w:r>
        <w:rPr>
          <w:b/>
          <w:bCs/>
        </w:rPr>
        <w:t xml:space="preserve">Underlying sales remain steady</w:t>
      </w:r>
      <w:r>
        <w:t xml:space="preserve"> </w:t>
      </w:r>
      <w:r>
        <w:t xml:space="preserve">despite a softer macro and consumer backdrop;</w:t>
      </w:r>
    </w:p>
    <w:p>
      <w:pPr>
        <w:pStyle w:val="Compact"/>
        <w:numPr>
          <w:ilvl w:val="0"/>
          <w:numId w:val="1001"/>
        </w:numPr>
      </w:pPr>
      <w:r>
        <w:rPr>
          <w:b/>
          <w:bCs/>
        </w:rPr>
        <w:t xml:space="preserve">Margin expansion is sustainable</w:t>
      </w:r>
      <w:r>
        <w:t xml:space="preserve">, especially in North America Automotive and Industrial;</w:t>
      </w:r>
    </w:p>
    <w:p>
      <w:pPr>
        <w:pStyle w:val="Compact"/>
        <w:numPr>
          <w:ilvl w:val="0"/>
          <w:numId w:val="1001"/>
        </w:numPr>
      </w:pPr>
      <w:r>
        <w:rPr>
          <w:b/>
          <w:bCs/>
        </w:rPr>
        <w:t xml:space="preserve">The 2026 outlook remains intact</w:t>
      </w:r>
      <w:r>
        <w:t xml:space="preserve"> </w:t>
      </w:r>
      <w:r>
        <w:t xml:space="preserve">despite the pressure management expected to be most pronounced in 2Q; and</w:t>
      </w:r>
    </w:p>
    <w:p>
      <w:pPr>
        <w:pStyle w:val="Compact"/>
        <w:numPr>
          <w:ilvl w:val="0"/>
          <w:numId w:val="1001"/>
        </w:numPr>
      </w:pPr>
      <w:r>
        <w:rPr>
          <w:b/>
          <w:bCs/>
        </w:rPr>
        <w:t xml:space="preserve">The planned 1Q27 separation is progressing without a larger-than-expected dis-synergy burden.</w:t>
      </w:r>
    </w:p>
    <w:bookmarkEnd w:id="9"/>
    <w:bookmarkStart w:id="10" w:name="what-gpc-last-told-investors"/>
    <w:p>
      <w:pPr>
        <w:pStyle w:val="Heading2"/>
      </w:pPr>
      <w:r>
        <w:t xml:space="preserve">What GPC last told investors</w:t>
      </w:r>
    </w:p>
    <w:p>
      <w:pPr>
        <w:pStyle w:val="FirstParagraph"/>
      </w:pPr>
      <w:r>
        <w:t xml:space="preserve">In 1Q26, GPC delivered sales of</w:t>
      </w:r>
      <w:r>
        <w:t xml:space="preserve"> </w:t>
      </w:r>
      <m:oMath>
        <m:r>
          <m:t>6.26</m:t>
        </m:r>
        <m:r>
          <m:t>b</m:t>
        </m:r>
        <m:r>
          <m:t>i</m:t>
        </m:r>
        <m:r>
          <m:t>l</m:t>
        </m:r>
        <m:r>
          <m:t>l</m:t>
        </m:r>
        <m:r>
          <m:t>i</m:t>
        </m:r>
        <m:r>
          <m:t>o</m:t>
        </m:r>
        <m:r>
          <m:t>n</m:t>
        </m:r>
        <m:r>
          <m:rPr>
            <m:sty m:val="p"/>
          </m:rPr>
          <m:t>*</m:t>
        </m:r>
        <m:r>
          <m:rPr>
            <m:sty m:val="p"/>
          </m:rPr>
          <m:t>*</m:t>
        </m:r>
        <m:r>
          <m:rPr>
            <m:sty m:val="p"/>
          </m:rPr>
          <m:t>,</m:t>
        </m:r>
        <m:r>
          <m:t>u</m:t>
        </m:r>
        <m:r>
          <m:t>p</m:t>
        </m:r>
        <m:r>
          <m:rPr>
            <m:sty m:val="p"/>
          </m:rPr>
          <m:t>*</m:t>
        </m:r>
        <m:r>
          <m:rPr>
            <m:sty m:val="p"/>
          </m:rPr>
          <m:t>*</m:t>
        </m:r>
        <m:r>
          <m:t>6.8</m:t>
        </m:r>
      </m:oMath>
      <w:r>
        <w:rPr>
          <w:b/>
          <w:bCs/>
        </w:rPr>
        <w:t xml:space="preserve">1.77</w:t>
      </w:r>
      <w:r>
        <w:t xml:space="preserve">, up modestly from</w:t>
      </w:r>
      <w:r>
        <w:t xml:space="preserve"> </w:t>
      </w:r>
      <m:oMath>
        <m:r>
          <m:t>1.75</m:t>
        </m:r>
        <m:r>
          <m:rPr>
            <m:sty m:val="p"/>
          </m:rPr>
          <m:t>*</m:t>
        </m:r>
        <m:r>
          <m:rPr>
            <m:sty m:val="p"/>
          </m:rPr>
          <m:t>*</m:t>
        </m:r>
        <m:r>
          <m:t>a</m:t>
        </m:r>
        <m:r>
          <m:t>y</m:t>
        </m:r>
        <m:r>
          <m:t>e</m:t>
        </m:r>
        <m:r>
          <m:t>a</m:t>
        </m:r>
        <m:r>
          <m:t>r</m:t>
        </m:r>
        <m:r>
          <m:t>e</m:t>
        </m:r>
        <m:r>
          <m:t>a</m:t>
        </m:r>
        <m:r>
          <m:t>r</m:t>
        </m:r>
        <m:r>
          <m:t>l</m:t>
        </m:r>
        <m:r>
          <m:t>i</m:t>
        </m:r>
        <m:r>
          <m:t>e</m:t>
        </m:r>
        <m:r>
          <m:t>r</m:t>
        </m:r>
        <m:r>
          <m:rPr>
            <m:sty m:val="p"/>
          </m:rPr>
          <m:t>,</m:t>
        </m:r>
        <m:r>
          <m:t>w</m:t>
        </m:r>
        <m:r>
          <m:t>h</m:t>
        </m:r>
        <m:r>
          <m:t>i</m:t>
        </m:r>
        <m:r>
          <m:t>l</m:t>
        </m:r>
        <m:r>
          <m:t>e</m:t>
        </m:r>
        <m:r>
          <m:t>r</m:t>
        </m:r>
        <m:r>
          <m:t>e</m:t>
        </m:r>
        <m:r>
          <m:t>p</m:t>
        </m:r>
        <m:r>
          <m:t>o</m:t>
        </m:r>
        <m:r>
          <m:t>r</m:t>
        </m:r>
        <m:r>
          <m:t>t</m:t>
        </m:r>
        <m:r>
          <m:t>e</m:t>
        </m:r>
        <m:r>
          <m:t>d</m:t>
        </m:r>
        <m:r>
          <m:t>E</m:t>
        </m:r>
        <m:r>
          <m:t>P</m:t>
        </m:r>
        <m:r>
          <m:t>S</m:t>
        </m:r>
        <m:r>
          <m:t>d</m:t>
        </m:r>
        <m:r>
          <m:t>e</m:t>
        </m:r>
        <m:r>
          <m:t>c</m:t>
        </m:r>
        <m:r>
          <m:t>l</m:t>
        </m:r>
        <m:r>
          <m:t>i</m:t>
        </m:r>
        <m:r>
          <m:t>n</m:t>
        </m:r>
        <m:r>
          <m:t>e</m:t>
        </m:r>
        <m:r>
          <m:t>d</m:t>
        </m:r>
        <m:r>
          <m:t>t</m:t>
        </m:r>
        <m:r>
          <m:t>o</m:t>
        </m:r>
        <m:r>
          <m:rPr>
            <m:sty m:val="p"/>
          </m:rPr>
          <m:t>*</m:t>
        </m:r>
        <m:r>
          <m:rPr>
            <m:sty m:val="p"/>
          </m:rPr>
          <m:t>*</m:t>
        </m:r>
      </m:oMath>
      <w:r>
        <w:rPr>
          <w:b/>
          <w:bCs/>
        </w:rPr>
        <w:t xml:space="preserve">1.37</w:t>
      </w:r>
      <w:r>
        <w:t xml:space="preserve"> </w:t>
      </w:r>
      <w:r>
        <w:t xml:space="preserve">from $1.40 due to restructuring, separation costs, higher depreciation, and interest expense.</w:t>
      </w:r>
    </w:p>
    <w:p>
      <w:pPr>
        <w:pStyle w:val="BodyText"/>
      </w:pPr>
      <w:r>
        <w:t xml:space="preserve">The important operational split was: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Segment</w:t>
            </w:r>
          </w:p>
        </w:tc>
        <w:tc>
          <w:tcPr/>
          <w:p>
            <w:pPr>
              <w:pStyle w:val="Compact"/>
              <w:jc w:val="right"/>
            </w:pPr>
            <w:r>
              <w:t xml:space="preserve">1Q26 sales growth</w:t>
            </w:r>
          </w:p>
        </w:tc>
        <w:tc>
          <w:tcPr/>
          <w:p>
            <w:pPr>
              <w:pStyle w:val="Compact"/>
              <w:jc w:val="right"/>
            </w:pPr>
            <w:r>
              <w:t xml:space="preserve">1Q26 comparable-sales growth</w:t>
            </w:r>
          </w:p>
        </w:tc>
        <w:tc>
          <w:tcPr/>
          <w:p>
            <w:pPr>
              <w:pStyle w:val="Compact"/>
              <w:jc w:val="right"/>
            </w:pPr>
            <w:r>
              <w:t xml:space="preserve">1Q26 EBITDA margin</w:t>
            </w:r>
          </w:p>
        </w:tc>
        <w:tc>
          <w:tcPr/>
          <w:p>
            <w:pPr>
              <w:pStyle w:val="Compact"/>
            </w:pPr>
            <w:r>
              <w:t xml:space="preserve">Key takeaway</w:t>
            </w:r>
          </w:p>
        </w:tc>
      </w:tr>
      <w:tr>
        <w:tc>
          <w:tcPr/>
          <w:p>
            <w:pPr>
              <w:pStyle w:val="Compact"/>
            </w:pPr>
            <w:r>
              <w:t xml:space="preserve">North America Automotive</w:t>
            </w:r>
          </w:p>
        </w:tc>
        <w:tc>
          <w:tcPr/>
          <w:p>
            <w:pPr>
              <w:pStyle w:val="Compact"/>
              <w:jc w:val="right"/>
            </w:pPr>
            <w:r>
              <w:t xml:space="preserve">4.3%</w:t>
            </w:r>
          </w:p>
        </w:tc>
        <w:tc>
          <w:tcPr/>
          <w:p>
            <w:pPr>
              <w:pStyle w:val="Compact"/>
              <w:jc w:val="right"/>
            </w:pPr>
            <w:r>
              <w:t xml:space="preserve">2.2%</w:t>
            </w:r>
          </w:p>
        </w:tc>
        <w:tc>
          <w:tcPr/>
          <w:p>
            <w:pPr>
              <w:pStyle w:val="Compact"/>
              <w:jc w:val="right"/>
            </w:pPr>
            <w:r>
              <w:t xml:space="preserve">6.6% (+10 bp)</w:t>
            </w:r>
          </w:p>
        </w:tc>
        <w:tc>
          <w:tcPr/>
          <w:p>
            <w:pPr>
              <w:pStyle w:val="Compact"/>
            </w:pPr>
            <w:r>
              <w:t xml:space="preserve">Company-owned stores and commercial demand supported progress; independent-owner demand remained more subdued.</w:t>
            </w:r>
          </w:p>
        </w:tc>
      </w:tr>
      <w:tr>
        <w:tc>
          <w:tcPr/>
          <w:p>
            <w:pPr>
              <w:pStyle w:val="Compact"/>
            </w:pPr>
            <w:r>
              <w:t xml:space="preserve">International Automotive</w:t>
            </w:r>
          </w:p>
        </w:tc>
        <w:tc>
          <w:tcPr/>
          <w:p>
            <w:pPr>
              <w:pStyle w:val="Compact"/>
              <w:jc w:val="right"/>
            </w:pPr>
            <w:r>
              <w:t xml:space="preserve">13.2%</w:t>
            </w:r>
          </w:p>
        </w:tc>
        <w:tc>
          <w:tcPr/>
          <w:p>
            <w:pPr>
              <w:pStyle w:val="Compact"/>
              <w:jc w:val="right"/>
            </w:pPr>
            <w:r>
              <w:t xml:space="preserve">0.3%</w:t>
            </w:r>
          </w:p>
        </w:tc>
        <w:tc>
          <w:tcPr/>
          <w:p>
            <w:pPr>
              <w:pStyle w:val="Compact"/>
              <w:jc w:val="right"/>
            </w:pPr>
            <w:r>
              <w:t xml:space="preserve">9.1% (-80 bp)</w:t>
            </w:r>
          </w:p>
        </w:tc>
        <w:tc>
          <w:tcPr/>
          <w:p>
            <w:pPr>
              <w:pStyle w:val="Compact"/>
            </w:pPr>
            <w:r>
              <w:t xml:space="preserve">FX drove most reported growth; Europe remained weak, while wage, rent, and freight inflation pressured profit.</w:t>
            </w:r>
          </w:p>
        </w:tc>
      </w:tr>
      <w:tr>
        <w:tc>
          <w:tcPr/>
          <w:p>
            <w:pPr>
              <w:pStyle w:val="Compact"/>
            </w:pPr>
            <w:r>
              <w:t xml:space="preserve">Industrial / Motion</w:t>
            </w:r>
          </w:p>
        </w:tc>
        <w:tc>
          <w:tcPr/>
          <w:p>
            <w:pPr>
              <w:pStyle w:val="Compact"/>
              <w:jc w:val="right"/>
            </w:pPr>
            <w:r>
              <w:t xml:space="preserve">5.2%</w:t>
            </w:r>
          </w:p>
        </w:tc>
        <w:tc>
          <w:tcPr/>
          <w:p>
            <w:pPr>
              <w:pStyle w:val="Compact"/>
              <w:jc w:val="right"/>
            </w:pPr>
            <w:r>
              <w:t xml:space="preserve">3.9%</w:t>
            </w:r>
          </w:p>
        </w:tc>
        <w:tc>
          <w:tcPr/>
          <w:p>
            <w:pPr>
              <w:pStyle w:val="Compact"/>
              <w:jc w:val="right"/>
            </w:pPr>
            <w:r>
              <w:t xml:space="preserve">13.6% (+90 bp)</w:t>
            </w:r>
          </w:p>
        </w:tc>
        <w:tc>
          <w:tcPr/>
          <w:p>
            <w:pPr>
              <w:pStyle w:val="Compact"/>
            </w:pPr>
            <w:r>
              <w:t xml:space="preserve">The clear standout, helped by pricing, MRO demand, restructuring benefits, and cost control.</w:t>
            </w:r>
          </w:p>
        </w:tc>
      </w:tr>
    </w:tbl>
    <w:p>
      <w:pPr>
        <w:pStyle w:val="BodyText"/>
      </w:pPr>
      <w:r>
        <w:t xml:space="preserve">Management reiterated its 2026 outlook:</w:t>
      </w:r>
    </w:p>
    <w:p>
      <w:pPr>
        <w:pStyle w:val="Compact"/>
        <w:numPr>
          <w:ilvl w:val="0"/>
          <w:numId w:val="1002"/>
        </w:numPr>
      </w:pPr>
      <w:r>
        <w:rPr>
          <w:b/>
          <w:bCs/>
        </w:rPr>
        <w:t xml:space="preserve">Total sales growth:</w:t>
      </w:r>
      <w:r>
        <w:t xml:space="preserve"> </w:t>
      </w:r>
      <w:r>
        <w:t xml:space="preserve">3.0%–5.5%</w:t>
      </w:r>
    </w:p>
    <w:p>
      <w:pPr>
        <w:pStyle w:val="Compact"/>
        <w:numPr>
          <w:ilvl w:val="0"/>
          <w:numId w:val="1002"/>
        </w:numPr>
      </w:pPr>
      <w:r>
        <w:rPr>
          <w:b/>
          <w:bCs/>
        </w:rPr>
        <w:t xml:space="preserve">North America Automotive growth:</w:t>
      </w:r>
      <w:r>
        <w:t xml:space="preserve"> </w:t>
      </w:r>
      <w:r>
        <w:t xml:space="preserve">3.0%–5.0%</w:t>
      </w:r>
    </w:p>
    <w:p>
      <w:pPr>
        <w:pStyle w:val="Compact"/>
        <w:numPr>
          <w:ilvl w:val="0"/>
          <w:numId w:val="1002"/>
        </w:numPr>
      </w:pPr>
      <w:r>
        <w:rPr>
          <w:b/>
          <w:bCs/>
        </w:rPr>
        <w:t xml:space="preserve">International Automotive growth:</w:t>
      </w:r>
      <w:r>
        <w:t xml:space="preserve"> </w:t>
      </w:r>
      <w:r>
        <w:t xml:space="preserve">3.0%–6.0%</w:t>
      </w:r>
    </w:p>
    <w:p>
      <w:pPr>
        <w:pStyle w:val="Compact"/>
        <w:numPr>
          <w:ilvl w:val="0"/>
          <w:numId w:val="1002"/>
        </w:numPr>
      </w:pPr>
      <w:r>
        <w:rPr>
          <w:b/>
          <w:bCs/>
        </w:rPr>
        <w:t xml:space="preserve">Industrial growth:</w:t>
      </w:r>
      <w:r>
        <w:t xml:space="preserve"> </w:t>
      </w:r>
      <w:r>
        <w:t xml:space="preserve">3.0%–6.0%</w:t>
      </w:r>
    </w:p>
    <w:p>
      <w:pPr>
        <w:pStyle w:val="Compact"/>
        <w:numPr>
          <w:ilvl w:val="0"/>
          <w:numId w:val="1002"/>
        </w:numPr>
      </w:pPr>
      <w:r>
        <w:rPr>
          <w:b/>
          <w:bCs/>
        </w:rPr>
        <w:t xml:space="preserve">Adjusted EPS:</w:t>
      </w:r>
      <w:r>
        <w:t xml:space="preserve"> </w:t>
      </w:r>
      <m:oMath>
        <m:r>
          <m:t>7.50</m:t>
        </m:r>
        <m:r>
          <m:rPr>
            <m:sty m:val="p"/>
          </m:rPr>
          <m:t>–</m:t>
        </m:r>
      </m:oMath>
      <w:r>
        <w:rPr>
          <w:b/>
          <w:bCs/>
        </w:rPr>
        <w:t xml:space="preserve">8.00</w:t>
      </w:r>
    </w:p>
    <w:p>
      <w:pPr>
        <w:pStyle w:val="Compact"/>
        <w:numPr>
          <w:ilvl w:val="0"/>
          <w:numId w:val="1002"/>
        </w:numPr>
      </w:pPr>
      <w:r>
        <w:rPr>
          <w:b/>
          <w:bCs/>
        </w:rPr>
        <w:t xml:space="preserve">Operating cash flow:</w:t>
      </w:r>
      <w:r>
        <w:t xml:space="preserve"> </w:t>
      </w:r>
      <m:oMath>
        <m:r>
          <m:t>1.0</m:t>
        </m:r>
        <m:r>
          <m:rPr>
            <m:sty m:val="p"/>
          </m:rPr>
          <m:t>–</m:t>
        </m:r>
      </m:oMath>
      <w:r>
        <w:t xml:space="preserve">1.2 billion</w:t>
      </w:r>
    </w:p>
    <w:p>
      <w:pPr>
        <w:pStyle w:val="Compact"/>
        <w:numPr>
          <w:ilvl w:val="0"/>
          <w:numId w:val="1002"/>
        </w:numPr>
      </w:pPr>
      <w:r>
        <w:rPr>
          <w:b/>
          <w:bCs/>
        </w:rPr>
        <w:t xml:space="preserve">Free cash flow:</w:t>
      </w:r>
      <w:r>
        <w:t xml:space="preserve"> </w:t>
      </w:r>
      <m:oMath>
        <m:r>
          <m:t>550</m:t>
        </m:r>
        <m:r>
          <m:rPr>
            <m:sty m:val="p"/>
          </m:rPr>
          <m:t>–</m:t>
        </m:r>
      </m:oMath>
      <w:r>
        <w:t xml:space="preserve">700 million</w:t>
      </w:r>
    </w:p>
    <w:p>
      <w:pPr>
        <w:pStyle w:val="FirstParagraph"/>
      </w:pPr>
      <w:r>
        <w:t xml:space="preserve">At the midpoint, the adjusted-EPS guide implies approximately</w:t>
      </w:r>
      <w:r>
        <w:t xml:space="preserve"> </w:t>
      </w:r>
      <w:r>
        <w:rPr>
          <w:b/>
          <w:bCs/>
        </w:rPr>
        <w:t xml:space="preserve">5% year-over-year growth</w:t>
      </w:r>
      <w:r>
        <w:t xml:space="preserve">.</w:t>
      </w:r>
    </w:p>
    <w:bookmarkEnd w:id="10"/>
    <w:bookmarkStart w:id="11" w:name="Xef92a819f79634c972b65705bb999421df176e2"/>
    <w:p>
      <w:pPr>
        <w:pStyle w:val="Heading2"/>
      </w:pPr>
      <w:r>
        <w:t xml:space="preserve">The 2Q setup: management already flagged pressure</w:t>
      </w:r>
    </w:p>
    <w:p>
      <w:pPr>
        <w:pStyle w:val="FirstParagraph"/>
      </w:pPr>
      <w:r>
        <w:t xml:space="preserve">GPC’s first-quarter call offered unusually explicit framing for 2Q. Management said April had started “steady” and that it expected core revenue momentum to be broadly consistent with 1Q. But it also warned that the second quarter would bear the most pronounced effect of geopolitical disruption and higher energy/logistics costs.</w:t>
      </w:r>
    </w:p>
    <w:p>
      <w:pPr>
        <w:pStyle w:val="BodyText"/>
      </w:pPr>
      <w:r>
        <w:t xml:space="preserve">Its working assumption incorporated a</w:t>
      </w:r>
      <w:r>
        <w:t xml:space="preserve"> </w:t>
      </w:r>
      <m:oMath>
        <m:r>
          <m:t>10</m:t>
        </m:r>
        <m:r>
          <m:t>m</m:t>
        </m:r>
        <m:r>
          <m:t>i</m:t>
        </m:r>
        <m:r>
          <m:t>l</m:t>
        </m:r>
        <m:r>
          <m:t>l</m:t>
        </m:r>
        <m:r>
          <m:t>i</m:t>
        </m:r>
        <m:r>
          <m:t>o</m:t>
        </m:r>
        <m:r>
          <m:t>n</m:t>
        </m:r>
        <m:r>
          <m:rPr>
            <m:sty m:val="p"/>
          </m:rPr>
          <m:t>–</m:t>
        </m:r>
      </m:oMath>
      <w:r>
        <w:rPr>
          <w:b/>
          <w:bCs/>
        </w:rPr>
        <w:t xml:space="preserve">20 million net EBITDA headwind in 2Q</w:t>
      </w:r>
      <w:r>
        <w:t xml:space="preserve">, reflecting:</w:t>
      </w:r>
    </w:p>
    <w:p>
      <w:pPr>
        <w:pStyle w:val="Compact"/>
        <w:numPr>
          <w:ilvl w:val="0"/>
          <w:numId w:val="1003"/>
        </w:numPr>
      </w:pPr>
      <w:r>
        <w:t xml:space="preserve">Higher supplier product costs and inbound freight;</w:t>
      </w:r>
    </w:p>
    <w:p>
      <w:pPr>
        <w:pStyle w:val="Compact"/>
        <w:numPr>
          <w:ilvl w:val="0"/>
          <w:numId w:val="1003"/>
        </w:numPr>
      </w:pPr>
      <w:r>
        <w:t xml:space="preserve">Higher fuel and outbound freight expense;</w:t>
      </w:r>
    </w:p>
    <w:p>
      <w:pPr>
        <w:pStyle w:val="Compact"/>
        <w:numPr>
          <w:ilvl w:val="0"/>
          <w:numId w:val="1003"/>
        </w:numPr>
      </w:pPr>
      <w:r>
        <w:t xml:space="preserve">Some ability to recover costs through price;</w:t>
      </w:r>
    </w:p>
    <w:p>
      <w:pPr>
        <w:pStyle w:val="Compact"/>
        <w:numPr>
          <w:ilvl w:val="0"/>
          <w:numId w:val="1003"/>
        </w:numPr>
      </w:pPr>
      <w:r>
        <w:t xml:space="preserve">Potentially softer demand as higher energy costs weigh on consumer sentiment, miles driven, and industrial activity.</w:t>
      </w:r>
    </w:p>
    <w:p>
      <w:pPr>
        <w:pStyle w:val="FirstParagraph"/>
      </w:pPr>
      <w:r>
        <w:t xml:space="preserve">This makes the guide decision and margin commentary more important than the headline EPS result. A maintained outlook would signal that 2Q pressures were contained within the company’s existing planning range. A guide reduction—even if modest—would likely revive concerns around pricing elasticity, freight costs, and the durability of margin recovery.</w:t>
      </w:r>
    </w:p>
    <w:bookmarkEnd w:id="11"/>
    <w:bookmarkStart w:id="15" w:name="the-numbers-and-indicators-to-watch"/>
    <w:p>
      <w:pPr>
        <w:pStyle w:val="Heading2"/>
      </w:pPr>
      <w:r>
        <w:t xml:space="preserve">The numbers and indicators to watch</w:t>
      </w:r>
    </w:p>
    <w:bookmarkStart w:id="12" w:name="X2e0dfc55da4be9e0ddd033bb1cf2731285de3c1"/>
    <w:p>
      <w:pPr>
        <w:pStyle w:val="Heading3"/>
      </w:pPr>
      <w:r>
        <w:t xml:space="preserve">1. Organic sales versus price</w:t>
      </w:r>
    </w:p>
    <w:p>
      <w:pPr>
        <w:pStyle w:val="FirstParagraph"/>
      </w:pPr>
      <w:r>
        <w:t xml:space="preserve">In 1Q, reported comparable-sales growth of 2.4% included roughly</w:t>
      </w:r>
      <w:r>
        <w:t xml:space="preserve"> </w:t>
      </w:r>
      <w:r>
        <w:rPr>
          <w:b/>
          <w:bCs/>
        </w:rPr>
        <w:t xml:space="preserve">3% pricing</w:t>
      </w:r>
      <w:r>
        <w:t xml:space="preserve">, implying that unit/volume trends were soft overall. That is not necessarily alarming in a price-inflation environment, but investors will want evidence that demand is not worsening.</w:t>
      </w:r>
    </w:p>
    <w:p>
      <w:pPr>
        <w:pStyle w:val="BodyText"/>
      </w:pPr>
      <w:r>
        <w:t xml:space="preserve">Specific indicators:</w:t>
      </w:r>
    </w:p>
    <w:p>
      <w:pPr>
        <w:pStyle w:val="Compact"/>
        <w:numPr>
          <w:ilvl w:val="0"/>
          <w:numId w:val="1004"/>
        </w:numPr>
      </w:pPr>
      <w:r>
        <w:rPr>
          <w:b/>
          <w:bCs/>
        </w:rPr>
        <w:t xml:space="preserve">North America Automotive:</w:t>
      </w:r>
      <w:r>
        <w:t xml:space="preserve"> </w:t>
      </w:r>
      <w:r>
        <w:t xml:space="preserve">Commercial sales, company-owned-store comp growth, independent-owner purchases, and retail demand.</w:t>
      </w:r>
    </w:p>
    <w:p>
      <w:pPr>
        <w:pStyle w:val="Compact"/>
        <w:numPr>
          <w:ilvl w:val="0"/>
          <w:numId w:val="1004"/>
        </w:numPr>
      </w:pPr>
      <w:r>
        <w:rPr>
          <w:b/>
          <w:bCs/>
        </w:rPr>
        <w:t xml:space="preserve">Industrial:</w:t>
      </w:r>
      <w:r>
        <w:t xml:space="preserve"> </w:t>
      </w:r>
      <w:r>
        <w:t xml:space="preserve">MRO trends versus capital/project activity; commentary on manufacturing activity and end-market breadth.</w:t>
      </w:r>
    </w:p>
    <w:p>
      <w:pPr>
        <w:pStyle w:val="Compact"/>
        <w:numPr>
          <w:ilvl w:val="0"/>
          <w:numId w:val="1004"/>
        </w:numPr>
      </w:pPr>
      <w:r>
        <w:rPr>
          <w:b/>
          <w:bCs/>
        </w:rPr>
        <w:t xml:space="preserve">Europe:</w:t>
      </w:r>
      <w:r>
        <w:t xml:space="preserve"> </w:t>
      </w:r>
      <w:r>
        <w:t xml:space="preserve">Whether the sequential stabilization management saw in 1Q has persisted.</w:t>
      </w:r>
    </w:p>
    <w:p>
      <w:pPr>
        <w:pStyle w:val="Compact"/>
        <w:numPr>
          <w:ilvl w:val="0"/>
          <w:numId w:val="1004"/>
        </w:numPr>
      </w:pPr>
      <w:r>
        <w:rPr>
          <w:b/>
          <w:bCs/>
        </w:rPr>
        <w:t xml:space="preserve">Australasia:</w:t>
      </w:r>
      <w:r>
        <w:t xml:space="preserve"> </w:t>
      </w:r>
      <w:r>
        <w:t xml:space="preserve">Consumer effects from fuel prices and interest rates.</w:t>
      </w:r>
    </w:p>
    <w:p>
      <w:pPr>
        <w:pStyle w:val="FirstParagraph"/>
      </w:pPr>
      <w:r>
        <w:t xml:space="preserve">A healthy report would show comps holding near 1Q levels or improving, with price realization not masking an accelerating unit decline.</w:t>
      </w:r>
    </w:p>
    <w:bookmarkEnd w:id="12"/>
    <w:bookmarkStart w:id="13" w:name="Xebcd178bedefee2987c34b1327cfc8f8389d116"/>
    <w:p>
      <w:pPr>
        <w:pStyle w:val="Heading3"/>
      </w:pPr>
      <w:r>
        <w:t xml:space="preserve">2. Margin resilience—particularly outside Industrial</w:t>
      </w:r>
    </w:p>
    <w:p>
      <w:pPr>
        <w:pStyle w:val="FirstParagraph"/>
      </w:pPr>
      <w:r>
        <w:t xml:space="preserve">Gross margin expanded</w:t>
      </w:r>
      <w:r>
        <w:t xml:space="preserve"> </w:t>
      </w:r>
      <w:r>
        <w:rPr>
          <w:b/>
          <w:bCs/>
        </w:rPr>
        <w:t xml:space="preserve">20 basis points</w:t>
      </w:r>
      <w:r>
        <w:t xml:space="preserve"> </w:t>
      </w:r>
      <w:r>
        <w:t xml:space="preserve">in 1Q despite tariff and cost pressures, driven by pricing and sourcing initiatives. But total adjusted EBITDA margin fell</w:t>
      </w:r>
      <w:r>
        <w:t xml:space="preserve"> </w:t>
      </w:r>
      <w:r>
        <w:rPr>
          <w:b/>
          <w:bCs/>
        </w:rPr>
        <w:t xml:space="preserve">20 basis points</w:t>
      </w:r>
      <w:r>
        <w:t xml:space="preserve"> </w:t>
      </w:r>
      <w:r>
        <w:t xml:space="preserve">to 7.9% as SG&amp;A inflation offset much of that progress.</w:t>
      </w:r>
    </w:p>
    <w:p>
      <w:pPr>
        <w:pStyle w:val="BodyText"/>
      </w:pPr>
      <w:r>
        <w:t xml:space="preserve">The 2Q margin debate centers on whether strategic pricing and cost actions can continue to outrun:</w:t>
      </w:r>
    </w:p>
    <w:p>
      <w:pPr>
        <w:pStyle w:val="Compact"/>
        <w:numPr>
          <w:ilvl w:val="0"/>
          <w:numId w:val="1005"/>
        </w:numPr>
      </w:pPr>
      <w:r>
        <w:t xml:space="preserve">Salary and wage inflation;</w:t>
      </w:r>
    </w:p>
    <w:p>
      <w:pPr>
        <w:pStyle w:val="Compact"/>
        <w:numPr>
          <w:ilvl w:val="0"/>
          <w:numId w:val="1005"/>
        </w:numPr>
      </w:pPr>
      <w:r>
        <w:t xml:space="preserve">Rent and health-care costs;</w:t>
      </w:r>
    </w:p>
    <w:p>
      <w:pPr>
        <w:pStyle w:val="Compact"/>
        <w:numPr>
          <w:ilvl w:val="0"/>
          <w:numId w:val="1005"/>
        </w:numPr>
      </w:pPr>
      <w:r>
        <w:t xml:space="preserve">Freight and fuel expense;</w:t>
      </w:r>
    </w:p>
    <w:p>
      <w:pPr>
        <w:pStyle w:val="Compact"/>
        <w:numPr>
          <w:ilvl w:val="0"/>
          <w:numId w:val="1005"/>
        </w:numPr>
      </w:pPr>
      <w:r>
        <w:t xml:space="preserve">Investment-related depreciation;</w:t>
      </w:r>
    </w:p>
    <w:p>
      <w:pPr>
        <w:pStyle w:val="Compact"/>
        <w:numPr>
          <w:ilvl w:val="0"/>
          <w:numId w:val="1005"/>
        </w:numPr>
      </w:pPr>
      <w:r>
        <w:t xml:space="preserve">Higher interest expense.</w:t>
      </w:r>
    </w:p>
    <w:p>
      <w:pPr>
        <w:pStyle w:val="FirstParagraph"/>
      </w:pPr>
      <w:r>
        <w:rPr>
          <w:b/>
          <w:bCs/>
        </w:rPr>
        <w:t xml:space="preserve">Industrial</w:t>
      </w:r>
      <w:r>
        <w:t xml:space="preserve"> </w:t>
      </w:r>
      <w:r>
        <w:t xml:space="preserve">is the most important proof point. Its 90-basis-point 1Q margin expansion demonstrated the earnings potential of the business and supports the strategic rationale for the separation. Sustained double-digit EBITDA growth and continued margin expansion at Motion would be a meaningful positive.</w:t>
      </w:r>
    </w:p>
    <w:p>
      <w:pPr>
        <w:pStyle w:val="BodyText"/>
      </w:pPr>
      <w:r>
        <w:t xml:space="preserve">Conversely,</w:t>
      </w:r>
      <w:r>
        <w:t xml:space="preserve"> </w:t>
      </w:r>
      <w:r>
        <w:rPr>
          <w:b/>
          <w:bCs/>
        </w:rPr>
        <w:t xml:space="preserve">International Automotive</w:t>
      </w:r>
      <w:r>
        <w:t xml:space="preserve"> </w:t>
      </w:r>
      <w:r>
        <w:t xml:space="preserve">needs close attention after its 80-basis-point margin contraction in 1Q. Another sizable decline would reinforce the view that FX-supported reported sales are not translating into commensurate profit growth.</w:t>
      </w:r>
    </w:p>
    <w:bookmarkEnd w:id="13"/>
    <w:bookmarkStart w:id="14" w:name="X2b3521bc08e80eb981838e7fbf08ff13e308e89"/>
    <w:p>
      <w:pPr>
        <w:pStyle w:val="Heading3"/>
      </w:pPr>
      <w:r>
        <w:t xml:space="preserve">3. Guidance and the implied second half</w:t>
      </w:r>
    </w:p>
    <w:p>
      <w:pPr>
        <w:pStyle w:val="FirstParagraph"/>
      </w:pPr>
      <w:r>
        <w:t xml:space="preserve">Management retained its</w:t>
      </w:r>
      <w:r>
        <w:t xml:space="preserve"> </w:t>
      </w:r>
      <m:oMath>
        <m:r>
          <m:t>7.50</m:t>
        </m:r>
        <m:r>
          <m:rPr>
            <m:sty m:val="p"/>
          </m:rPr>
          <m:t>–</m:t>
        </m:r>
      </m:oMath>
      <w:r>
        <w:t xml:space="preserve">8.00 adjusted-EPS outlook after 1Q, despite saying the quarter’s performance was ahead of internal expectations. That conservatism reflected its expectation that 2Q and possibly 3Q would carry more uncertainty.</w:t>
      </w:r>
    </w:p>
    <w:p>
      <w:pPr>
        <w:pStyle w:val="BodyText"/>
      </w:pPr>
      <w:r>
        <w:t xml:space="preserve">For the call, listen for:</w:t>
      </w:r>
    </w:p>
    <w:p>
      <w:pPr>
        <w:pStyle w:val="Compact"/>
        <w:numPr>
          <w:ilvl w:val="0"/>
          <w:numId w:val="1006"/>
        </w:numPr>
      </w:pPr>
      <w:r>
        <w:t xml:space="preserve">Whether management</w:t>
      </w:r>
      <w:r>
        <w:t xml:space="preserve"> </w:t>
      </w:r>
      <w:r>
        <w:rPr>
          <w:b/>
          <w:bCs/>
        </w:rPr>
        <w:t xml:space="preserve">reaffirms, raises, or narrows</w:t>
      </w:r>
      <w:r>
        <w:t xml:space="preserve"> </w:t>
      </w:r>
      <w:r>
        <w:t xml:space="preserve">full-year sales and EPS ranges;</w:t>
      </w:r>
    </w:p>
    <w:p>
      <w:pPr>
        <w:pStyle w:val="Compact"/>
        <w:numPr>
          <w:ilvl w:val="0"/>
          <w:numId w:val="1006"/>
        </w:numPr>
      </w:pPr>
      <w:r>
        <w:t xml:space="preserve">Whether the anticipated</w:t>
      </w:r>
      <w:r>
        <w:t xml:space="preserve"> </w:t>
      </w:r>
      <m:oMath>
        <m:r>
          <m:t>10</m:t>
        </m:r>
        <m:r>
          <m:t>m</m:t>
        </m:r>
        <m:r>
          <m:t>i</m:t>
        </m:r>
        <m:r>
          <m:t>l</m:t>
        </m:r>
        <m:r>
          <m:t>l</m:t>
        </m:r>
        <m:r>
          <m:t>i</m:t>
        </m:r>
        <m:r>
          <m:t>o</m:t>
        </m:r>
        <m:r>
          <m:t>n</m:t>
        </m:r>
        <m:r>
          <m:rPr>
            <m:sty m:val="p"/>
          </m:rPr>
          <m:t>–</m:t>
        </m:r>
      </m:oMath>
      <w:r>
        <w:rPr>
          <w:b/>
          <w:bCs/>
        </w:rPr>
        <w:t xml:space="preserve">20 million 2Q EBITDA drag</w:t>
      </w:r>
      <w:r>
        <w:t xml:space="preserve"> </w:t>
      </w:r>
      <w:r>
        <w:t xml:space="preserve">materialized;</w:t>
      </w:r>
    </w:p>
    <w:p>
      <w:pPr>
        <w:pStyle w:val="Compact"/>
        <w:numPr>
          <w:ilvl w:val="0"/>
          <w:numId w:val="1006"/>
        </w:numPr>
      </w:pPr>
      <w:r>
        <w:t xml:space="preserve">Whether price/cost dynamics are becoming more favorable as the year progresses;</w:t>
      </w:r>
    </w:p>
    <w:p>
      <w:pPr>
        <w:pStyle w:val="Compact"/>
        <w:numPr>
          <w:ilvl w:val="0"/>
          <w:numId w:val="1006"/>
        </w:numPr>
      </w:pPr>
      <w:r>
        <w:t xml:space="preserve">Any update to the outlook for</w:t>
      </w:r>
      <w:r>
        <w:t xml:space="preserve"> </w:t>
      </w:r>
      <w:r>
        <w:rPr>
          <w:b/>
          <w:bCs/>
        </w:rPr>
        <w:t xml:space="preserve">40–60 basis points of full-year gross-margin expansion</w:t>
      </w:r>
      <w:r>
        <w:t xml:space="preserve">;</w:t>
      </w:r>
    </w:p>
    <w:p>
      <w:pPr>
        <w:pStyle w:val="Compact"/>
        <w:numPr>
          <w:ilvl w:val="0"/>
          <w:numId w:val="1006"/>
        </w:numPr>
      </w:pPr>
      <w:r>
        <w:t xml:space="preserve">The timing of restructuring savings versus restructuring cash costs.</w:t>
      </w:r>
    </w:p>
    <w:p>
      <w:pPr>
        <w:pStyle w:val="FirstParagraph"/>
      </w:pPr>
      <w:r>
        <w:t xml:space="preserve">A simple reaffirmation could be constructive if accompanied by evidence that the worst cost pressure is contained. A raise would be a material positive given the cautious 1Q tone. A cut would matter more for the read-through on demand and margin than for the absolute size of the revision.</w:t>
      </w:r>
    </w:p>
    <w:bookmarkEnd w:id="14"/>
    <w:bookmarkEnd w:id="15"/>
    <w:bookmarkStart w:id="16" w:name="X675bf78d8eddac28c2cc16f268d0414d20fdf36"/>
    <w:p>
      <w:pPr>
        <w:pStyle w:val="Heading2"/>
      </w:pPr>
      <w:r>
        <w:t xml:space="preserve">Separation: the strategic catalyst and the main execution risk</w:t>
      </w:r>
    </w:p>
    <w:p>
      <w:pPr>
        <w:pStyle w:val="FirstParagraph"/>
      </w:pPr>
      <w:r>
        <w:t xml:space="preserve">GPC plans to separate Global Automotive and Global Industrial into two publicly traded companies in</w:t>
      </w:r>
      <w:r>
        <w:t xml:space="preserve"> </w:t>
      </w:r>
      <w:r>
        <w:rPr>
          <w:b/>
          <w:bCs/>
        </w:rPr>
        <w:t xml:space="preserve">1Q27</w:t>
      </w:r>
      <w:r>
        <w:t xml:space="preserve">. The company has estimated</w:t>
      </w:r>
      <w:r>
        <w:t xml:space="preserve"> </w:t>
      </w:r>
      <m:oMath>
        <m:r>
          <m:t>100</m:t>
        </m:r>
        <m:r>
          <m:t>m</m:t>
        </m:r>
        <m:r>
          <m:t>i</m:t>
        </m:r>
        <m:r>
          <m:t>l</m:t>
        </m:r>
        <m:r>
          <m:t>l</m:t>
        </m:r>
        <m:r>
          <m:t>i</m:t>
        </m:r>
        <m:r>
          <m:t>o</m:t>
        </m:r>
        <m:r>
          <m:t>n</m:t>
        </m:r>
        <m:r>
          <m:rPr>
            <m:sty m:val="p"/>
          </m:rPr>
          <m:t>–</m:t>
        </m:r>
      </m:oMath>
      <w:r>
        <w:rPr>
          <w:b/>
          <w:bCs/>
        </w:rPr>
        <w:t xml:space="preserve">150 million of annual run-rate dis-synergy and stand-alone costs</w:t>
      </w:r>
      <w:r>
        <w:t xml:space="preserve">:</w:t>
      </w:r>
    </w:p>
    <w:p>
      <w:pPr>
        <w:pStyle w:val="Compact"/>
        <w:numPr>
          <w:ilvl w:val="0"/>
          <w:numId w:val="1007"/>
        </w:numPr>
      </w:pPr>
      <m:oMath>
        <m:r>
          <m:t>50</m:t>
        </m:r>
        <m:r>
          <m:t>m</m:t>
        </m:r>
        <m:r>
          <m:t>i</m:t>
        </m:r>
        <m:r>
          <m:t>l</m:t>
        </m:r>
        <m:r>
          <m:t>l</m:t>
        </m:r>
        <m:r>
          <m:t>i</m:t>
        </m:r>
        <m:r>
          <m:t>o</m:t>
        </m:r>
        <m:r>
          <m:t>n</m:t>
        </m:r>
        <m:r>
          <m:rPr>
            <m:sty m:val="p"/>
          </m:rPr>
          <m:t>–</m:t>
        </m:r>
      </m:oMath>
      <w:r>
        <w:rPr>
          <w:b/>
          <w:bCs/>
        </w:rPr>
        <w:t xml:space="preserve">75 million</w:t>
      </w:r>
      <w:r>
        <w:t xml:space="preserve"> </w:t>
      </w:r>
      <w:r>
        <w:t xml:space="preserve">from lost scale and replicated indirect sourcing, back-office, and technology functions;</w:t>
      </w:r>
    </w:p>
    <w:p>
      <w:pPr>
        <w:pStyle w:val="Compact"/>
        <w:numPr>
          <w:ilvl w:val="0"/>
          <w:numId w:val="1007"/>
        </w:numPr>
      </w:pPr>
      <m:oMath>
        <m:r>
          <m:t>50</m:t>
        </m:r>
        <m:r>
          <m:t>m</m:t>
        </m:r>
        <m:r>
          <m:t>i</m:t>
        </m:r>
        <m:r>
          <m:t>l</m:t>
        </m:r>
        <m:r>
          <m:t>l</m:t>
        </m:r>
        <m:r>
          <m:t>i</m:t>
        </m:r>
        <m:r>
          <m:t>o</m:t>
        </m:r>
        <m:r>
          <m:t>n</m:t>
        </m:r>
        <m:r>
          <m:rPr>
            <m:sty m:val="p"/>
          </m:rPr>
          <m:t>–</m:t>
        </m:r>
      </m:oMath>
      <w:r>
        <w:rPr>
          <w:b/>
          <w:bCs/>
        </w:rPr>
        <w:t xml:space="preserve">75 million</w:t>
      </w:r>
      <w:r>
        <w:t xml:space="preserve"> </w:t>
      </w:r>
      <w:r>
        <w:t xml:space="preserve">in incremental stand-alone public-company costs, with most of this category expected at Industrial.</w:t>
      </w:r>
    </w:p>
    <w:p>
      <w:pPr>
        <w:pStyle w:val="FirstParagraph"/>
      </w:pPr>
      <w:r>
        <w:t xml:space="preserve">This estimate excludes one-time separation expenses. GPC recorded</w:t>
      </w:r>
      <w:r>
        <w:t xml:space="preserve"> </w:t>
      </w:r>
      <m:oMath>
        <m:r>
          <m:t>17.5</m:t>
        </m:r>
        <m:r>
          <m:t>m</m:t>
        </m:r>
        <m:r>
          <m:t>i</m:t>
        </m:r>
        <m:r>
          <m:t>l</m:t>
        </m:r>
        <m:r>
          <m:t>l</m:t>
        </m:r>
        <m:r>
          <m:t>i</m:t>
        </m:r>
        <m:r>
          <m:t>o</m:t>
        </m:r>
        <m:r>
          <m:t>n</m:t>
        </m:r>
        <m:r>
          <m:t>o</m:t>
        </m:r>
        <m:r>
          <m:t>f</m:t>
        </m:r>
        <m:r>
          <m:t>p</m:t>
        </m:r>
        <m:r>
          <m:t>r</m:t>
        </m:r>
        <m:r>
          <m:t>e</m:t>
        </m:r>
        <m:r>
          <m:t>t</m:t>
        </m:r>
        <m:r>
          <m:t>a</m:t>
        </m:r>
        <m:r>
          <m:t>x</m:t>
        </m:r>
        <m:r>
          <m:t>s</m:t>
        </m:r>
        <m:r>
          <m:t>e</m:t>
        </m:r>
        <m:r>
          <m:t>p</m:t>
        </m:r>
        <m:r>
          <m:t>a</m:t>
        </m:r>
        <m:r>
          <m:t>r</m:t>
        </m:r>
        <m:r>
          <m:t>a</m:t>
        </m:r>
        <m:r>
          <m:t>t</m:t>
        </m:r>
        <m:r>
          <m:t>i</m:t>
        </m:r>
        <m:r>
          <m:t>o</m:t>
        </m:r>
        <m:r>
          <m:t>n</m:t>
        </m:r>
        <m:r>
          <m:t>c</m:t>
        </m:r>
        <m:r>
          <m:t>o</m:t>
        </m:r>
        <m:r>
          <m:t>s</m:t>
        </m:r>
        <m:r>
          <m:t>t</m:t>
        </m:r>
        <m:r>
          <m:t>i</m:t>
        </m:r>
        <m:r>
          <m:t>n</m:t>
        </m:r>
        <m:r>
          <m:t>1</m:t>
        </m:r>
        <m:r>
          <m:t>Q</m:t>
        </m:r>
        <m:r>
          <m:rPr>
            <m:sty m:val="p"/>
          </m:rPr>
          <m:t>*</m:t>
        </m:r>
        <m:r>
          <m:rPr>
            <m:sty m:val="p"/>
          </m:rPr>
          <m:t>*</m:t>
        </m:r>
        <m:r>
          <m:rPr>
            <m:sty m:val="p"/>
          </m:rPr>
          <m:t>,</m:t>
        </m:r>
        <m:r>
          <m:t>i</m:t>
        </m:r>
        <m:r>
          <m:t>n</m:t>
        </m:r>
        <m:r>
          <m:t>a</m:t>
        </m:r>
        <m:r>
          <m:t>d</m:t>
        </m:r>
        <m:r>
          <m:t>d</m:t>
        </m:r>
        <m:r>
          <m:t>i</m:t>
        </m:r>
        <m:r>
          <m:t>t</m:t>
        </m:r>
        <m:r>
          <m:t>i</m:t>
        </m:r>
        <m:r>
          <m:t>o</m:t>
        </m:r>
        <m:r>
          <m:t>n</m:t>
        </m:r>
        <m:r>
          <m:t>t</m:t>
        </m:r>
        <m:r>
          <m:t>o</m:t>
        </m:r>
        <m:r>
          <m:rPr>
            <m:sty m:val="p"/>
          </m:rPr>
          <m:t>*</m:t>
        </m:r>
        <m:r>
          <m:rPr>
            <m:sty m:val="p"/>
          </m:rPr>
          <m:t>*</m:t>
        </m:r>
      </m:oMath>
      <w:r>
        <w:rPr>
          <w:b/>
          <w:bCs/>
        </w:rPr>
        <w:t xml:space="preserve">57.7 million of restructuring expense</w:t>
      </w:r>
      <w:r>
        <w:t xml:space="preserve">.</w:t>
      </w:r>
    </w:p>
    <w:p>
      <w:pPr>
        <w:pStyle w:val="BodyText"/>
      </w:pPr>
      <w:r>
        <w:t xml:space="preserve">Investors should look for:</w:t>
      </w:r>
    </w:p>
    <w:p>
      <w:pPr>
        <w:pStyle w:val="Compact"/>
        <w:numPr>
          <w:ilvl w:val="0"/>
          <w:numId w:val="1008"/>
        </w:numPr>
      </w:pPr>
      <w:r>
        <w:t xml:space="preserve">Confirmation that the transaction remains on track for 1Q27;</w:t>
      </w:r>
    </w:p>
    <w:p>
      <w:pPr>
        <w:pStyle w:val="Compact"/>
        <w:numPr>
          <w:ilvl w:val="0"/>
          <w:numId w:val="1008"/>
        </w:numPr>
      </w:pPr>
      <w:r>
        <w:t xml:space="preserve">Evidence that estimated dis-synergies remain within the</w:t>
      </w:r>
      <w:r>
        <w:t xml:space="preserve"> </w:t>
      </w:r>
      <m:oMath>
        <m:r>
          <m:t>100</m:t>
        </m:r>
        <m:r>
          <m:t>m</m:t>
        </m:r>
        <m:r>
          <m:t>i</m:t>
        </m:r>
        <m:r>
          <m:t>l</m:t>
        </m:r>
        <m:r>
          <m:t>l</m:t>
        </m:r>
        <m:r>
          <m:t>i</m:t>
        </m:r>
        <m:r>
          <m:t>o</m:t>
        </m:r>
        <m:r>
          <m:t>n</m:t>
        </m:r>
        <m:r>
          <m:rPr>
            <m:sty m:val="p"/>
          </m:rPr>
          <m:t>–</m:t>
        </m:r>
      </m:oMath>
      <w:r>
        <w:t xml:space="preserve">150 million range;</w:t>
      </w:r>
    </w:p>
    <w:p>
      <w:pPr>
        <w:pStyle w:val="Compact"/>
        <w:numPr>
          <w:ilvl w:val="0"/>
          <w:numId w:val="1008"/>
        </w:numPr>
      </w:pPr>
      <w:r>
        <w:t xml:space="preserve">More detail on corporate-cost allocation, capital structures, dividend policies, and the intended investment-grade profiles of both businesses;</w:t>
      </w:r>
    </w:p>
    <w:p>
      <w:pPr>
        <w:pStyle w:val="Compact"/>
        <w:numPr>
          <w:ilvl w:val="0"/>
          <w:numId w:val="1008"/>
        </w:numPr>
      </w:pPr>
      <w:r>
        <w:t xml:space="preserve">Any update on leadership, Form 10 preparation, transaction costs, or Investor Day timing.</w:t>
      </w:r>
    </w:p>
    <w:p>
      <w:pPr>
        <w:pStyle w:val="FirstParagraph"/>
      </w:pPr>
      <w:r>
        <w:t xml:space="preserve">The separation is a potential valuation catalyst because Motion’s higher-margin Industrial profile and the Automotive business’s cash-generation attributes could be valued more clearly apart. But that thesis depends on the businesses absorbing stand-alone costs without eroding the margin opportunity.</w:t>
      </w:r>
    </w:p>
    <w:bookmarkEnd w:id="16"/>
    <w:bookmarkStart w:id="17" w:name="X62e61b69b4604d3be5941ced79b87c880bfddba"/>
    <w:p>
      <w:pPr>
        <w:pStyle w:val="Heading2"/>
      </w:pPr>
      <w:r>
        <w:t xml:space="preserve">Cash flow, leverage, and capital allocation</w:t>
      </w:r>
    </w:p>
    <w:p>
      <w:pPr>
        <w:pStyle w:val="FirstParagraph"/>
      </w:pPr>
      <w:r>
        <w:t xml:space="preserve">GPC’s first-quarter free cash flow was seasonally negative</w:t>
      </w:r>
      <w:r>
        <w:t xml:space="preserve"> </w:t>
      </w:r>
      <w:r>
        <w:rPr>
          <w:b/>
          <w:bCs/>
        </w:rPr>
        <w:t xml:space="preserve">$34 million</w:t>
      </w:r>
      <w:r>
        <w:t xml:space="preserve">, an improvement from negative</w:t>
      </w:r>
      <w:r>
        <w:t xml:space="preserve"> </w:t>
      </w:r>
      <m:oMath>
        <m:r>
          <m:t>161</m:t>
        </m:r>
        <m:r>
          <m:t>m</m:t>
        </m:r>
        <m:r>
          <m:t>i</m:t>
        </m:r>
        <m:r>
          <m:t>l</m:t>
        </m:r>
        <m:r>
          <m:t>l</m:t>
        </m:r>
        <m:r>
          <m:t>i</m:t>
        </m:r>
        <m:r>
          <m:t>o</m:t>
        </m:r>
        <m:r>
          <m:t>n</m:t>
        </m:r>
        <m:r>
          <m:t>a</m:t>
        </m:r>
        <m:r>
          <m:t>y</m:t>
        </m:r>
        <m:r>
          <m:t>e</m:t>
        </m:r>
        <m:r>
          <m:t>a</m:t>
        </m:r>
        <m:r>
          <m:t>r</m:t>
        </m:r>
        <m:r>
          <m:t>e</m:t>
        </m:r>
        <m:r>
          <m:t>a</m:t>
        </m:r>
        <m:r>
          <m:t>r</m:t>
        </m:r>
        <m:r>
          <m:t>l</m:t>
        </m:r>
        <m:r>
          <m:t>i</m:t>
        </m:r>
        <m:r>
          <m:t>e</m:t>
        </m:r>
        <m:r>
          <m:t>r</m:t>
        </m:r>
        <m:r>
          <m:rPr>
            <m:sty m:val="p"/>
          </m:rPr>
          <m:t>,</m:t>
        </m:r>
        <m:r>
          <m:t>a</m:t>
        </m:r>
        <m:r>
          <m:t>n</m:t>
        </m:r>
        <m:r>
          <m:t>d</m:t>
        </m:r>
        <m:r>
          <m:t>m</m:t>
        </m:r>
        <m:r>
          <m:t>a</m:t>
        </m:r>
        <m:r>
          <m:t>n</m:t>
        </m:r>
        <m:r>
          <m:t>a</m:t>
        </m:r>
        <m:r>
          <m:t>g</m:t>
        </m:r>
        <m:r>
          <m:t>e</m:t>
        </m:r>
        <m:r>
          <m:t>m</m:t>
        </m:r>
        <m:r>
          <m:t>e</m:t>
        </m:r>
        <m:r>
          <m:t>n</m:t>
        </m:r>
        <m:r>
          <m:t>t</m:t>
        </m:r>
        <m:r>
          <m:t>m</m:t>
        </m:r>
        <m:r>
          <m:t>a</m:t>
        </m:r>
        <m:r>
          <m:t>i</m:t>
        </m:r>
        <m:r>
          <m:t>n</m:t>
        </m:r>
        <m:r>
          <m:t>t</m:t>
        </m:r>
        <m:r>
          <m:t>a</m:t>
        </m:r>
        <m:r>
          <m:t>i</m:t>
        </m:r>
        <m:r>
          <m:t>n</m:t>
        </m:r>
        <m:r>
          <m:t>e</m:t>
        </m:r>
        <m:r>
          <m:t>d</m:t>
        </m:r>
        <m:r>
          <m:t>f</m:t>
        </m:r>
        <m:r>
          <m:t>u</m:t>
        </m:r>
        <m:r>
          <m:t>l</m:t>
        </m:r>
        <m:r>
          <m:t>l</m:t>
        </m:r>
        <m:r>
          <m:rPr>
            <m:sty m:val="p"/>
          </m:rPr>
          <m:t>−</m:t>
        </m:r>
        <m:r>
          <m:t>y</m:t>
        </m:r>
        <m:r>
          <m:t>e</m:t>
        </m:r>
        <m:r>
          <m:t>a</m:t>
        </m:r>
        <m:r>
          <m:t>r</m:t>
        </m:r>
        <m:r>
          <m:t>f</m:t>
        </m:r>
        <m:r>
          <m:t>r</m:t>
        </m:r>
        <m:r>
          <m:t>e</m:t>
        </m:r>
        <m:r>
          <m:t>e</m:t>
        </m:r>
        <m:r>
          <m:rPr>
            <m:sty m:val="p"/>
          </m:rPr>
          <m:t>−</m:t>
        </m:r>
        <m:r>
          <m:t>c</m:t>
        </m:r>
        <m:r>
          <m:t>a</m:t>
        </m:r>
        <m:r>
          <m:t>s</m:t>
        </m:r>
        <m:r>
          <m:t>h</m:t>
        </m:r>
        <m:r>
          <m:rPr>
            <m:sty m:val="p"/>
          </m:rPr>
          <m:t>−</m:t>
        </m:r>
        <m:r>
          <m:t>f</m:t>
        </m:r>
        <m:r>
          <m:t>l</m:t>
        </m:r>
        <m:r>
          <m:t>o</m:t>
        </m:r>
        <m:r>
          <m:t>w</m:t>
        </m:r>
        <m:r>
          <m:t>g</m:t>
        </m:r>
        <m:r>
          <m:t>u</m:t>
        </m:r>
        <m:r>
          <m:t>i</m:t>
        </m:r>
        <m:r>
          <m:t>d</m:t>
        </m:r>
        <m:r>
          <m:t>a</m:t>
        </m:r>
        <m:r>
          <m:t>n</m:t>
        </m:r>
        <m:r>
          <m:t>c</m:t>
        </m:r>
        <m:r>
          <m:t>e</m:t>
        </m:r>
        <m:r>
          <m:t>o</m:t>
        </m:r>
        <m:r>
          <m:t>f</m:t>
        </m:r>
        <m:r>
          <m:rPr>
            <m:sty m:val="p"/>
          </m:rPr>
          <m:t>*</m:t>
        </m:r>
        <m:r>
          <m:rPr>
            <m:sty m:val="p"/>
          </m:rPr>
          <m:t>*</m:t>
        </m:r>
      </m:oMath>
      <w:r>
        <w:t xml:space="preserve">550 million–$700 million**.</w:t>
      </w:r>
    </w:p>
    <w:p>
      <w:pPr>
        <w:pStyle w:val="BodyText"/>
      </w:pPr>
      <w:r>
        <w:t xml:space="preserve">The balance sheet remains workable but merits monitoring during a separation process:</w:t>
      </w:r>
    </w:p>
    <w:p>
      <w:pPr>
        <w:pStyle w:val="Compact"/>
        <w:numPr>
          <w:ilvl w:val="0"/>
          <w:numId w:val="1009"/>
        </w:numPr>
      </w:pPr>
      <w:r>
        <w:rPr>
          <w:b/>
          <w:bCs/>
        </w:rPr>
        <w:t xml:space="preserve">Total liquidity:</w:t>
      </w:r>
      <w:r>
        <w:t xml:space="preserve"> </w:t>
      </w:r>
      <w:r>
        <w:t xml:space="preserve">$1.3 billion at March 31;</w:t>
      </w:r>
    </w:p>
    <w:p>
      <w:pPr>
        <w:pStyle w:val="Compact"/>
        <w:numPr>
          <w:ilvl w:val="0"/>
          <w:numId w:val="1009"/>
        </w:numPr>
      </w:pPr>
      <w:r>
        <w:rPr>
          <w:b/>
          <w:bCs/>
        </w:rPr>
        <w:t xml:space="preserve">Cash:</w:t>
      </w:r>
      <w:r>
        <w:t xml:space="preserve"> </w:t>
      </w:r>
      <w:r>
        <w:t xml:space="preserve">$500 million;</w:t>
      </w:r>
    </w:p>
    <w:p>
      <w:pPr>
        <w:pStyle w:val="Compact"/>
        <w:numPr>
          <w:ilvl w:val="0"/>
          <w:numId w:val="1009"/>
        </w:numPr>
      </w:pPr>
      <w:r>
        <w:rPr>
          <w:b/>
          <w:bCs/>
        </w:rPr>
        <w:t xml:space="preserve">Total debt:</w:t>
      </w:r>
      <w:r>
        <w:t xml:space="preserve"> </w:t>
      </w:r>
      <w:r>
        <w:t xml:space="preserve">approximately $5.0 billion;</w:t>
      </w:r>
    </w:p>
    <w:p>
      <w:pPr>
        <w:pStyle w:val="Compact"/>
        <w:numPr>
          <w:ilvl w:val="0"/>
          <w:numId w:val="1009"/>
        </w:numPr>
      </w:pPr>
      <w:r>
        <w:rPr>
          <w:b/>
          <w:bCs/>
        </w:rPr>
        <w:t xml:space="preserve">Average debt cost:</w:t>
      </w:r>
      <w:r>
        <w:t xml:space="preserve"> </w:t>
      </w:r>
      <w:r>
        <w:t xml:space="preserve">3.98%;</w:t>
      </w:r>
    </w:p>
    <w:p>
      <w:pPr>
        <w:pStyle w:val="Compact"/>
        <w:numPr>
          <w:ilvl w:val="0"/>
          <w:numId w:val="1009"/>
        </w:numPr>
      </w:pPr>
      <w:r>
        <w:rPr>
          <w:b/>
          <w:bCs/>
        </w:rPr>
        <w:t xml:space="preserve">Commercial paper outstanding:</w:t>
      </w:r>
      <w:r>
        <w:t xml:space="preserve"> </w:t>
      </w:r>
      <w:r>
        <w:t xml:space="preserve">$607 million;</w:t>
      </w:r>
    </w:p>
    <w:p>
      <w:pPr>
        <w:pStyle w:val="Compact"/>
        <w:numPr>
          <w:ilvl w:val="0"/>
          <w:numId w:val="1009"/>
        </w:numPr>
      </w:pPr>
      <w:r>
        <w:rPr>
          <w:b/>
          <w:bCs/>
        </w:rPr>
        <w:t xml:space="preserve">Revolver borrowings:</w:t>
      </w:r>
      <w:r>
        <w:t xml:space="preserve"> </w:t>
      </w:r>
      <w:r>
        <w:t xml:space="preserve">$554 million.</w:t>
      </w:r>
    </w:p>
    <w:p>
      <w:pPr>
        <w:pStyle w:val="FirstParagraph"/>
      </w:pPr>
      <w:r>
        <w:t xml:space="preserve">Management has emphasized preserving investment-grade ratings for both future companies. Accordingly, investors should pay close attention to any early signals around debt allocation, leverage tolerance, dividends, M&amp;A capacity, and separation financing.</w:t>
      </w:r>
    </w:p>
    <w:bookmarkEnd w:id="17"/>
    <w:bookmarkStart w:id="18" w:name="stock-setup"/>
    <w:p>
      <w:pPr>
        <w:pStyle w:val="Heading2"/>
      </w:pPr>
      <w:r>
        <w:t xml:space="preserve">Stock setup</w:t>
      </w:r>
    </w:p>
    <w:p>
      <w:pPr>
        <w:pStyle w:val="FirstParagraph"/>
      </w:pPr>
      <w:r>
        <w:t xml:space="preserve">GPC closed at</w:t>
      </w:r>
      <w:r>
        <w:t xml:space="preserve"> </w:t>
      </w:r>
      <m:oMath>
        <m:r>
          <m:t>122.43</m:t>
        </m:r>
        <m:r>
          <m:t>o</m:t>
        </m:r>
        <m:r>
          <m:t>n</m:t>
        </m:r>
        <m:r>
          <m:t>J</m:t>
        </m:r>
        <m:r>
          <m:t>u</m:t>
        </m:r>
        <m:r>
          <m:t>l</m:t>
        </m:r>
        <m:r>
          <m:t>y</m:t>
        </m:r>
        <m:r>
          <m:t>20</m:t>
        </m:r>
        <m:r>
          <m:rPr>
            <m:sty m:val="p"/>
          </m:rPr>
          <m:t>*</m:t>
        </m:r>
        <m:r>
          <m:rPr>
            <m:sty m:val="p"/>
          </m:rPr>
          <m:t>*</m:t>
        </m:r>
        <m:r>
          <m:rPr>
            <m:sty m:val="p"/>
          </m:rPr>
          <m:t>,</m:t>
        </m:r>
        <m:r>
          <m:t>e</m:t>
        </m:r>
        <m:r>
          <m:t>s</m:t>
        </m:r>
        <m:r>
          <m:t>s</m:t>
        </m:r>
        <m:r>
          <m:t>e</m:t>
        </m:r>
        <m:r>
          <m:t>n</m:t>
        </m:r>
        <m:r>
          <m:t>t</m:t>
        </m:r>
        <m:r>
          <m:t>i</m:t>
        </m:r>
        <m:r>
          <m:t>a</m:t>
        </m:r>
        <m:r>
          <m:t>l</m:t>
        </m:r>
        <m:r>
          <m:t>l</m:t>
        </m:r>
        <m:r>
          <m:t>y</m:t>
        </m:r>
        <m:r>
          <m:t>f</m:t>
        </m:r>
        <m:r>
          <m:t>l</m:t>
        </m:r>
        <m:r>
          <m:t>a</m:t>
        </m:r>
        <m:r>
          <m:t>t</m:t>
        </m:r>
        <m:r>
          <m:t>v</m:t>
        </m:r>
        <m:r>
          <m:t>e</m:t>
        </m:r>
        <m:r>
          <m:t>r</m:t>
        </m:r>
        <m:r>
          <m:t>s</m:t>
        </m:r>
        <m:r>
          <m:t>u</m:t>
        </m:r>
        <m:r>
          <m:t>s</m:t>
        </m:r>
        <m:r>
          <m:t>i</m:t>
        </m:r>
        <m:r>
          <m:t>t</m:t>
        </m:r>
        <m:r>
          <m:t>s</m:t>
        </m:r>
        <m:r>
          <m:rPr>
            <m:sty m:val="p"/>
          </m:rPr>
          <m:t>*</m:t>
        </m:r>
        <m:r>
          <m:rPr>
            <m:sty m:val="p"/>
          </m:rPr>
          <m:t>*</m:t>
        </m:r>
      </m:oMath>
      <w:r>
        <w:rPr>
          <w:b/>
          <w:bCs/>
        </w:rPr>
        <w:t xml:space="preserve">122.96</w:t>
      </w:r>
      <w:r>
        <w:t xml:space="preserve"> </w:t>
      </w:r>
      <w:r>
        <w:t xml:space="preserve">close at the end of 2025, but roughly</w:t>
      </w:r>
      <w:r>
        <w:t xml:space="preserve"> </w:t>
      </w:r>
      <w:r>
        <w:rPr>
          <w:b/>
          <w:bCs/>
        </w:rPr>
        <w:t xml:space="preserve">18.0% below</w:t>
      </w:r>
      <w:r>
        <w:t xml:space="preserve"> </w:t>
      </w:r>
      <w:r>
        <w:t xml:space="preserve">its February 11 high of $149.26.</w:t>
      </w:r>
    </w:p>
    <w:p>
      <w:pPr>
        <w:pStyle w:val="BodyText"/>
      </w:pPr>
      <w:r>
        <w:t xml:space="preserve">That performance suggests that investors are already discounting a meaningful amount of execution and macro uncertainty. The stock is also up roughly</w:t>
      </w:r>
      <w:r>
        <w:t xml:space="preserve"> </w:t>
      </w:r>
      <w:r>
        <w:rPr>
          <w:b/>
          <w:bCs/>
        </w:rPr>
        <w:t xml:space="preserve">6.5%</w:t>
      </w:r>
      <w:r>
        <w:t xml:space="preserve"> </w:t>
      </w:r>
      <w:r>
        <w:t xml:space="preserve">from its April 21 close, immediately following 1Q results, indicating some recognition of improved operating momentum—but it has given back much of a late-June/early-July rally.</w:t>
      </w:r>
    </w:p>
    <w:bookmarkEnd w:id="18"/>
    <w:bookmarkStart w:id="21" w:name="potential-market-reactions"/>
    <w:p>
      <w:pPr>
        <w:pStyle w:val="Heading2"/>
      </w:pPr>
      <w:r>
        <w:t xml:space="preserve">Potential market reactions</w:t>
      </w:r>
    </w:p>
    <w:bookmarkStart w:id="19" w:name="bull-case"/>
    <w:p>
      <w:pPr>
        <w:pStyle w:val="Heading3"/>
      </w:pPr>
      <w:r>
        <w:t xml:space="preserve">Bull case</w:t>
      </w:r>
    </w:p>
    <w:p>
      <w:pPr>
        <w:pStyle w:val="FirstParagraph"/>
      </w:pPr>
      <w:r>
        <w:t xml:space="preserve">A favorable reaction would likely require:</w:t>
      </w:r>
    </w:p>
    <w:p>
      <w:pPr>
        <w:pStyle w:val="Compact"/>
        <w:numPr>
          <w:ilvl w:val="0"/>
          <w:numId w:val="1010"/>
        </w:numPr>
      </w:pPr>
      <w:r>
        <w:t xml:space="preserve">Organic sales that remain stable to improving across Automotive and Industrial;</w:t>
      </w:r>
    </w:p>
    <w:p>
      <w:pPr>
        <w:pStyle w:val="Compact"/>
        <w:numPr>
          <w:ilvl w:val="0"/>
          <w:numId w:val="1010"/>
        </w:numPr>
      </w:pPr>
      <w:r>
        <w:t xml:space="preserve">Another strong Industrial margin result;</w:t>
      </w:r>
    </w:p>
    <w:p>
      <w:pPr>
        <w:pStyle w:val="Compact"/>
        <w:numPr>
          <w:ilvl w:val="0"/>
          <w:numId w:val="1010"/>
        </w:numPr>
      </w:pPr>
      <w:r>
        <w:t xml:space="preserve">North America Automotive margin expansion and resilient commercial demand;</w:t>
      </w:r>
    </w:p>
    <w:p>
      <w:pPr>
        <w:pStyle w:val="Compact"/>
        <w:numPr>
          <w:ilvl w:val="0"/>
          <w:numId w:val="1010"/>
        </w:numPr>
      </w:pPr>
      <w:r>
        <w:t xml:space="preserve">Contained International Automotive margin pressure;</w:t>
      </w:r>
    </w:p>
    <w:p>
      <w:pPr>
        <w:pStyle w:val="Compact"/>
        <w:numPr>
          <w:ilvl w:val="0"/>
          <w:numId w:val="1010"/>
        </w:numPr>
      </w:pPr>
      <w:r>
        <w:t xml:space="preserve">Reaffirmed or improved 2026 guidance;</w:t>
      </w:r>
    </w:p>
    <w:p>
      <w:pPr>
        <w:pStyle w:val="Compact"/>
        <w:numPr>
          <w:ilvl w:val="0"/>
          <w:numId w:val="1010"/>
        </w:numPr>
      </w:pPr>
      <w:r>
        <w:t xml:space="preserve">Confirmation that the separation timetable and</w:t>
      </w:r>
      <w:r>
        <w:t xml:space="preserve"> </w:t>
      </w:r>
      <m:oMath>
        <m:r>
          <m:t>100</m:t>
        </m:r>
        <m:r>
          <m:t>m</m:t>
        </m:r>
        <m:r>
          <m:t>i</m:t>
        </m:r>
        <m:r>
          <m:t>l</m:t>
        </m:r>
        <m:r>
          <m:t>l</m:t>
        </m:r>
        <m:r>
          <m:t>i</m:t>
        </m:r>
        <m:r>
          <m:t>o</m:t>
        </m:r>
        <m:r>
          <m:t>n</m:t>
        </m:r>
        <m:r>
          <m:rPr>
            <m:sty m:val="p"/>
          </m:rPr>
          <m:t>–</m:t>
        </m:r>
      </m:oMath>
      <w:r>
        <w:t xml:space="preserve">150 million stand-alone-cost range are unchanged.</w:t>
      </w:r>
    </w:p>
    <w:bookmarkEnd w:id="19"/>
    <w:bookmarkStart w:id="20" w:name="bear-case"/>
    <w:p>
      <w:pPr>
        <w:pStyle w:val="Heading3"/>
      </w:pPr>
      <w:r>
        <w:t xml:space="preserve">Bear case</w:t>
      </w:r>
    </w:p>
    <w:p>
      <w:pPr>
        <w:pStyle w:val="FirstParagraph"/>
      </w:pPr>
      <w:r>
        <w:t xml:space="preserve">Downside risk would rise if GPC reports:</w:t>
      </w:r>
    </w:p>
    <w:p>
      <w:pPr>
        <w:pStyle w:val="Compact"/>
        <w:numPr>
          <w:ilvl w:val="0"/>
          <w:numId w:val="1011"/>
        </w:numPr>
      </w:pPr>
      <w:r>
        <w:t xml:space="preserve">Deteriorating comps once price is separated from volume;</w:t>
      </w:r>
    </w:p>
    <w:p>
      <w:pPr>
        <w:pStyle w:val="Compact"/>
        <w:numPr>
          <w:ilvl w:val="0"/>
          <w:numId w:val="1011"/>
        </w:numPr>
      </w:pPr>
      <w:r>
        <w:t xml:space="preserve">A larger-than-expected freight/fuel or tariff impact;</w:t>
      </w:r>
    </w:p>
    <w:p>
      <w:pPr>
        <w:pStyle w:val="Compact"/>
        <w:numPr>
          <w:ilvl w:val="0"/>
          <w:numId w:val="1011"/>
        </w:numPr>
      </w:pPr>
      <w:r>
        <w:t xml:space="preserve">Gross-margin deterioration or SG&amp;A deleverage;</w:t>
      </w:r>
    </w:p>
    <w:p>
      <w:pPr>
        <w:pStyle w:val="Compact"/>
        <w:numPr>
          <w:ilvl w:val="0"/>
          <w:numId w:val="1011"/>
        </w:numPr>
      </w:pPr>
      <w:r>
        <w:t xml:space="preserve">Weakening European automotive conditions;</w:t>
      </w:r>
    </w:p>
    <w:p>
      <w:pPr>
        <w:pStyle w:val="Compact"/>
        <w:numPr>
          <w:ilvl w:val="0"/>
          <w:numId w:val="1011"/>
        </w:numPr>
      </w:pPr>
      <w:r>
        <w:t xml:space="preserve">A guidance cut or a more cautious second-half outlook;</w:t>
      </w:r>
    </w:p>
    <w:p>
      <w:pPr>
        <w:pStyle w:val="Compact"/>
        <w:numPr>
          <w:ilvl w:val="0"/>
          <w:numId w:val="1011"/>
        </w:numPr>
      </w:pPr>
      <w:r>
        <w:t xml:space="preserve">Higher separation dis-synergy estimates, incremental one-time costs, or slower transaction progress.</w:t>
      </w:r>
    </w:p>
    <w:bookmarkEnd w:id="20"/>
    <w:bookmarkEnd w:id="21"/>
    <w:bookmarkStart w:id="22" w:name="bottom-line"/>
    <w:p>
      <w:pPr>
        <w:pStyle w:val="Heading2"/>
      </w:pPr>
      <w:r>
        <w:t xml:space="preserve">Bottom line</w:t>
      </w:r>
    </w:p>
    <w:p>
      <w:pPr>
        <w:pStyle w:val="FirstParagraph"/>
      </w:pPr>
      <w:r>
        <w:t xml:space="preserve">GPC’s 2Q report is principally a test of</w:t>
      </w:r>
      <w:r>
        <w:t xml:space="preserve"> </w:t>
      </w:r>
      <w:r>
        <w:rPr>
          <w:b/>
          <w:bCs/>
        </w:rPr>
        <w:t xml:space="preserve">earnings-quality durability</w:t>
      </w:r>
      <w:r>
        <w:t xml:space="preserve">. The company has already shown that Industrial can expand margins and that North America Automotive can improve modestly despite a challenging backdrop. The missing proof is whether those gains can withstand the near-term cost shock management identified for 2Q, while the company simultaneously funds restructuring and prepares for a two-company separation.</w:t>
      </w:r>
    </w:p>
    <w:p>
      <w:pPr>
        <w:pStyle w:val="BodyText"/>
      </w:pPr>
      <w:r>
        <w:t xml:space="preserve">For investors, the most important outputs are likely to be:</w:t>
      </w:r>
      <w:r>
        <w:t xml:space="preserve"> </w:t>
      </w:r>
      <w:r>
        <w:rPr>
          <w:b/>
          <w:bCs/>
        </w:rPr>
        <w:t xml:space="preserve">organic sales composition, Industrial and Automotive margins, full-year guidance confidence, free-cash-flow conversion, and separation economics</w:t>
      </w:r>
      <w:r>
        <w:t xml:space="preserve">—in that order.</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2026-07-21T00:24:44Z</dcterms:created>
  <dcterms:modified xsi:type="dcterms:W3CDTF">2026-07-21T00:24:44Z</dcterms:modified>
</cp:coreProperties>
</file>

<file path=docProps/custom.xml><?xml version="1.0" encoding="utf-8"?>
<Properties xmlns="http://schemas.openxmlformats.org/officeDocument/2006/custom-properties" xmlns:vt="http://schemas.openxmlformats.org/officeDocument/2006/docPropsVTypes"/>
</file>