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pc-earnings-predictions--2026-07-21"/>
    <w:p>
      <w:pPr>
        <w:pStyle w:val="Heading1"/>
      </w:pPr>
      <w:r>
        <w:t xml:space="preserve">GPC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~$6.50B vs. cons $6.43B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Comparable Sales Growth Total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~+3.3% vs. cons +2.9%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Diluted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~$2.10 vs. cons $2.07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7.50</m:t>
              </m:r>
              <m:r>
                <m:rPr>
                  <m:sty m:val="p"/>
                </m:rPr>
                <m:t>−</m:t>
              </m:r>
            </m:oMath>
            <w:r>
              <w:t xml:space="preserve">8.00 reaffirmed vs. cons $7.73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Total Sales Growth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~3%-5.5% reaffirmed vs. cons ~4.8%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Iran Conflict / Q3 EBITDA Risk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actual Q2 impact at low end of $10-20M; Q3 risk reduced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O'Reilly Bid / Separation Update (qualitative)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management will not confirm bid; investor day timing update only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(FADE)</w:t>
            </w:r>
          </w:p>
        </w:tc>
        <w:tc>
          <w:tcPr/>
          <w:p>
            <w:pPr>
              <w:pStyle w:val="Compact"/>
            </w:pPr>
            <w:r>
              <w:t xml:space="preserve">FADE — archetype C pattern: beat absorbed day-1, implicit H2 cut pulls estimates lower over 5 days as sell-side models reaffirmed FY guide against Q2 beat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2026-07-24T22:21:44Z</dcterms:created>
  <dcterms:modified xsi:type="dcterms:W3CDTF">2026-07-24T22:21:44Z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