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Genuine Parts Company (GPC)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Genuine Parts Company</w:t>
            </w:r>
          </w:p>
        </w:tc>
        <w:tc>
          <w:tcPr>
            <w:tcW w:type="dxa" w:w="2160"/>
          </w:tcPr>
          <w:p>
            <w:r>
              <w:rPr>
                <w:rFonts w:ascii="Calibri" w:hAnsi="Calibri"/>
                <w:b/>
                <w:sz w:val="22"/>
              </w:rPr>
              <w:t>Earnings Date</w:t>
            </w:r>
          </w:p>
        </w:tc>
        <w:tc>
          <w:tcPr>
            <w:tcW w:type="dxa" w:w="2160"/>
          </w:tcPr>
          <w:p>
            <w:r>
              <w:rPr>
                <w:rFonts w:ascii="Calibri" w:hAnsi="Calibri"/>
                <w:sz w:val="22"/>
              </w:rPr>
              <w:t>July 21, 2026 (Pre-Market)</w:t>
            </w:r>
          </w:p>
        </w:tc>
      </w:tr>
      <w:tr>
        <w:tc>
          <w:tcPr>
            <w:tcW w:type="dxa" w:w="2160"/>
          </w:tcPr>
          <w:p>
            <w:r>
              <w:rPr>
                <w:rFonts w:ascii="Calibri" w:hAnsi="Calibri"/>
                <w:b/>
                <w:sz w:val="22"/>
              </w:rPr>
              <w:t>Ticker</w:t>
            </w:r>
          </w:p>
        </w:tc>
        <w:tc>
          <w:tcPr>
            <w:tcW w:type="dxa" w:w="2160"/>
          </w:tcPr>
          <w:p>
            <w:r>
              <w:rPr>
                <w:rFonts w:ascii="Calibri" w:hAnsi="Calibri"/>
                <w:sz w:val="22"/>
              </w:rPr>
              <w:t>NYSE: GPC</w:t>
            </w:r>
          </w:p>
        </w:tc>
        <w:tc>
          <w:tcPr>
            <w:tcW w:type="dxa" w:w="2160"/>
          </w:tcPr>
          <w:p>
            <w:r>
              <w:rPr>
                <w:rFonts w:ascii="Calibri" w:hAnsi="Calibri"/>
                <w:b/>
                <w:sz w:val="22"/>
              </w:rPr>
              <w:t>Reporting Period</w:t>
            </w:r>
          </w:p>
        </w:tc>
        <w:tc>
          <w:tcPr>
            <w:tcW w:type="dxa" w:w="2160"/>
          </w:tcPr>
          <w:p>
            <w:r>
              <w:rPr>
                <w:rFonts w:ascii="Calibri" w:hAnsi="Calibri"/>
                <w:sz w:val="22"/>
              </w:rPr>
              <w:t>Q2 2026 (June 30, 2026)</w:t>
            </w:r>
          </w:p>
        </w:tc>
      </w:tr>
      <w:tr>
        <w:tc>
          <w:tcPr>
            <w:tcW w:type="dxa" w:w="2160"/>
          </w:tcPr>
          <w:p>
            <w:r>
              <w:rPr>
                <w:rFonts w:ascii="Calibri" w:hAnsi="Calibri"/>
                <w:b/>
                <w:sz w:val="22"/>
              </w:rPr>
              <w:t>Sector</w:t>
            </w:r>
          </w:p>
        </w:tc>
        <w:tc>
          <w:tcPr>
            <w:tcW w:type="dxa" w:w="2160"/>
          </w:tcPr>
          <w:p>
            <w:r>
              <w:rPr>
                <w:rFonts w:ascii="Calibri" w:hAnsi="Calibri"/>
                <w:sz w:val="22"/>
              </w:rPr>
              <w:t>Auto Parts Distribution / Industrial Distribution</w:t>
            </w:r>
          </w:p>
        </w:tc>
        <w:tc>
          <w:tcPr>
            <w:tcW w:type="dxa" w:w="2160"/>
          </w:tcPr>
          <w:p>
            <w:r>
              <w:rPr>
                <w:rFonts w:ascii="Calibri" w:hAnsi="Calibri"/>
                <w:b/>
                <w:sz w:val="22"/>
              </w:rPr>
              <w:t>Prepared</w:t>
            </w:r>
          </w:p>
        </w:tc>
        <w:tc>
          <w:tcPr>
            <w:tcW w:type="dxa" w:w="2160"/>
          </w:tcPr>
          <w:p>
            <w:r>
              <w:rPr>
                <w:rFonts w:ascii="Calibri" w:hAnsi="Calibri"/>
                <w:sz w:val="22"/>
              </w:rPr>
              <w:t>July 20,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The setup into Q2 2026 is cautiously constructive — consensus is a manageable bar, but the O'Reilly bid report has injected strategic noise that could overshadow the operating print; the single biggest swing factor is whether management provides any update on the separation/M&amp;A process alongside Q2 results.</w:t>
      </w:r>
    </w:p>
    <w:p>
      <w:r>
        <w:rPr>
          <w:rFonts w:ascii="Calibri" w:hAnsi="Calibri"/>
          <w:color w:val="525866"/>
          <w:sz w:val="22"/>
        </w:rPr>
        <w:t xml:space="preserve">Heading into Q2 2026, GPC faces a consensus bar that looks achievable but not easy: the Street is modeling </w:t>
      </w:r>
      <w:r>
        <w:rPr>
          <w:rFonts w:ascii="Calibri" w:hAnsi="Calibri"/>
          <w:b/>
          <w:color w:val="525866"/>
          <w:sz w:val="22"/>
        </w:rPr>
        <w:t>$6.43B in revenue (+3.6% YoY)</w:t>
      </w:r>
      <w:r>
        <w:rPr>
          <w:rFonts w:ascii="Calibri" w:hAnsi="Calibri"/>
          <w:color w:val="525866"/>
          <w:sz w:val="22"/>
        </w:rPr>
        <w:t xml:space="preserve"> and </w:t>
      </w:r>
      <w:r>
        <w:rPr>
          <w:rFonts w:ascii="Calibri" w:hAnsi="Calibri"/>
          <w:b/>
          <w:color w:val="525866"/>
          <w:sz w:val="22"/>
        </w:rPr>
        <w:t>adjusted EPS of $2.07</w:t>
      </w:r>
      <w:r>
        <w:rPr>
          <w:rFonts w:ascii="Calibri" w:hAnsi="Calibri"/>
          <w:color w:val="525866"/>
          <w:sz w:val="22"/>
        </w:rPr>
        <w:t xml:space="preserve"> — both roughly in line with the company's own implied quarterly cadence from full-year guidance of $7.50–$8.00 adjusted EPS. Management's tone at Q1 was deliberately cautious, reaffirming full-year guidance despite beating internal Q1 expectations, citing </w:t>
      </w:r>
      <w:r>
        <w:rPr>
          <w:rFonts w:ascii="Calibri" w:hAnsi="Calibri"/>
          <w:b/>
          <w:color w:val="525866"/>
          <w:sz w:val="22"/>
        </w:rPr>
        <w:t>$10–$20M of EBITDA downside risk from the Iran conflict concentrated in Q2</w:t>
      </w:r>
      <w:r>
        <w:rPr>
          <w:rFonts w:ascii="Calibri" w:hAnsi="Calibri"/>
          <w:color w:val="525866"/>
          <w:sz w:val="22"/>
        </w:rPr>
        <w:t xml:space="preserve">; that headwind is now baked into consensus, meaning any faster-than-expected resolution or pricing offset could be a positive surprise. Estimate revisions have been essentially flat over the last 30 days, suggesting the Street has already absorbed the Iran risk and is waiting for the print rather than pre-positioning. The stock has been a significant outperformer since Q1 earnings (+6.4% vs. SPY +5.4% and XLY -3.7%), but the July 2 O'Reilly bid report drove a sharp 12%+ single-day spike that has since partially faded — the stock is now pricing in some strategic optionality premium on top of the operating business, which raises the bar for a pure earnings beat to move the stock further. The key wildcard is the </w:t>
      </w:r>
      <w:r>
        <w:rPr>
          <w:rFonts w:ascii="Calibri" w:hAnsi="Calibri"/>
          <w:b/>
          <w:color w:val="525866"/>
          <w:sz w:val="22"/>
        </w:rPr>
        <w:t>separation/M&amp;A process update</w:t>
      </w:r>
      <w:r>
        <w:rPr>
          <w:rFonts w:ascii="Calibri" w:hAnsi="Calibri"/>
          <w:color w:val="525866"/>
          <w:sz w:val="22"/>
        </w:rPr>
        <w:t>: any confirmation, denial, or timeline update on the reported O'Reilly bid for the automotive division could dominate the market reaction regardless of whether Q2 results beat or miss.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Consensus is a low-to-moderate bar on revenue (+3.6% YoY) and adjusted EPS ($2.07), with the Iran conflict headwind already embedded; comparable sales growth — particularly in Automotive — is the bigger swing factor, as any sequential acceleration above the ~2% comp implied by consensus would signal the market is recovering faster than feared.</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Total Revenue ($B)</w:t>
            </w:r>
          </w:p>
        </w:tc>
        <w:tc>
          <w:tcPr>
            <w:tcW w:type="dxa" w:w="1234"/>
          </w:tcPr>
          <w:p>
            <w:r>
              <w:rPr>
                <w:rFonts w:ascii="Calibri" w:hAnsi="Calibri"/>
                <w:sz w:val="22"/>
              </w:rPr>
              <w:t>$6.26B</w:t>
            </w:r>
          </w:p>
        </w:tc>
        <w:tc>
          <w:tcPr>
            <w:tcW w:type="dxa" w:w="1234"/>
          </w:tcPr>
          <w:p>
            <w:r>
              <w:rPr>
                <w:rFonts w:ascii="Calibri" w:hAnsi="Calibri"/>
                <w:sz w:val="22"/>
              </w:rPr>
              <w:t>$6.16B</w:t>
            </w:r>
          </w:p>
        </w:tc>
        <w:tc>
          <w:tcPr>
            <w:tcW w:type="dxa" w:w="1234"/>
          </w:tcPr>
          <w:p>
            <w:r>
              <w:rPr>
                <w:rFonts w:ascii="Calibri" w:hAnsi="Calibri"/>
                <w:sz w:val="22"/>
              </w:rPr>
              <w:t>$6.43B</w:t>
            </w:r>
          </w:p>
        </w:tc>
        <w:tc>
          <w:tcPr>
            <w:tcW w:type="dxa" w:w="1234"/>
          </w:tcPr>
          <w:p>
            <w:r>
              <w:rPr>
                <w:rFonts w:ascii="Calibri" w:hAnsi="Calibri"/>
                <w:sz w:val="22"/>
              </w:rPr>
              <w:t>+4.4%</w:t>
            </w:r>
          </w:p>
        </w:tc>
        <w:tc>
          <w:tcPr>
            <w:tcW w:type="dxa" w:w="1234"/>
          </w:tcPr>
          <w:p>
            <w:r>
              <w:rPr>
                <w:rFonts w:ascii="Calibri" w:hAnsi="Calibri"/>
                <w:sz w:val="22"/>
              </w:rPr>
              <w:t>+3% to +5.5% growth</w:t>
            </w:r>
          </w:p>
        </w:tc>
        <w:tc>
          <w:tcPr>
            <w:tcW w:type="dxa" w:w="1234"/>
          </w:tcPr>
          <w:p>
            <w:r>
              <w:rPr>
                <w:rFonts w:ascii="Calibri" w:hAnsi="Calibri"/>
                <w:sz w:val="22"/>
              </w:rPr>
              <w:t>~In line with midpoint</w:t>
            </w:r>
          </w:p>
        </w:tc>
      </w:tr>
      <w:tr>
        <w:tc>
          <w:tcPr>
            <w:tcW w:type="dxa" w:w="1234"/>
          </w:tcPr>
          <w:p>
            <w:r>
              <w:rPr>
                <w:rFonts w:ascii="Calibri" w:hAnsi="Calibri"/>
                <w:sz w:val="22"/>
              </w:rPr>
              <w:t>Comparable Sales Growth — Total (%)</w:t>
            </w:r>
          </w:p>
        </w:tc>
        <w:tc>
          <w:tcPr>
            <w:tcW w:type="dxa" w:w="1234"/>
          </w:tcPr>
          <w:p>
            <w:r>
              <w:rPr>
                <w:rFonts w:ascii="Calibri" w:hAnsi="Calibri"/>
                <w:sz w:val="22"/>
              </w:rPr>
              <w:t>+2.4%</w:t>
            </w:r>
          </w:p>
        </w:tc>
        <w:tc>
          <w:tcPr>
            <w:tcW w:type="dxa" w:w="1234"/>
          </w:tcPr>
          <w:p>
            <w:r>
              <w:rPr>
                <w:rFonts w:ascii="Calibri" w:hAnsi="Calibri"/>
                <w:sz w:val="22"/>
              </w:rPr>
              <w:t>+0.2%</w:t>
            </w:r>
          </w:p>
        </w:tc>
        <w:tc>
          <w:tcPr>
            <w:tcW w:type="dxa" w:w="1234"/>
          </w:tcPr>
          <w:p>
            <w:r>
              <w:rPr>
                <w:rFonts w:ascii="Calibri" w:hAnsi="Calibri"/>
                <w:sz w:val="22"/>
              </w:rPr>
              <w:t>+2.9%</w:t>
            </w:r>
          </w:p>
        </w:tc>
        <w:tc>
          <w:tcPr>
            <w:tcW w:type="dxa" w:w="1234"/>
          </w:tcPr>
          <w:p>
            <w:r>
              <w:rPr>
                <w:rFonts w:ascii="Calibri" w:hAnsi="Calibri"/>
                <w:sz w:val="22"/>
              </w:rPr>
              <w:t>+270 bps YoY</w:t>
            </w:r>
          </w:p>
        </w:tc>
        <w:tc>
          <w:tcPr>
            <w:tcW w:type="dxa" w:w="1234"/>
          </w:tcPr>
          <w:p>
            <w:r>
              <w:rPr>
                <w:rFonts w:ascii="Calibri" w:hAnsi="Calibri"/>
                <w:sz w:val="22"/>
              </w:rPr>
              <w:t>Flat market + ~2% pricing</w:t>
            </w:r>
          </w:p>
        </w:tc>
        <w:tc>
          <w:tcPr>
            <w:tcW w:type="dxa" w:w="1234"/>
          </w:tcPr>
          <w:p>
            <w:r>
              <w:rPr>
                <w:rFonts w:ascii="Calibri" w:hAnsi="Calibri"/>
                <w:sz w:val="22"/>
              </w:rPr>
              <w:t>~In line</w:t>
            </w:r>
          </w:p>
        </w:tc>
      </w:tr>
      <w:tr>
        <w:tc>
          <w:tcPr>
            <w:tcW w:type="dxa" w:w="1234"/>
          </w:tcPr>
          <w:p>
            <w:r>
              <w:rPr>
                <w:rFonts w:ascii="Calibri" w:hAnsi="Calibri"/>
                <w:sz w:val="22"/>
              </w:rPr>
              <w:t>Comparable Sales Growth — Automotive (%)</w:t>
            </w:r>
          </w:p>
        </w:tc>
        <w:tc>
          <w:tcPr>
            <w:tcW w:type="dxa" w:w="1234"/>
          </w:tcPr>
          <w:p>
            <w:r>
              <w:rPr>
                <w:rFonts w:ascii="Calibri" w:hAnsi="Calibri"/>
                <w:sz w:val="22"/>
              </w:rPr>
              <w:t>+1.7%</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+160 bps YoY</w:t>
            </w:r>
          </w:p>
        </w:tc>
        <w:tc>
          <w:tcPr>
            <w:tcW w:type="dxa" w:w="1234"/>
          </w:tcPr>
          <w:p>
            <w:r>
              <w:rPr>
                <w:rFonts w:ascii="Calibri" w:hAnsi="Calibri"/>
                <w:sz w:val="22"/>
              </w:rPr>
              <w:t>+1.5% to +3.5%</w:t>
            </w:r>
          </w:p>
        </w:tc>
        <w:tc>
          <w:tcPr>
            <w:tcW w:type="dxa" w:w="1234"/>
          </w:tcPr>
          <w:p>
            <w:r>
              <w:rPr>
                <w:rFonts w:ascii="Calibri" w:hAnsi="Calibri"/>
                <w:sz w:val="22"/>
              </w:rPr>
              <w:t>~At low end of range</w:t>
            </w:r>
          </w:p>
        </w:tc>
      </w:tr>
      <w:tr>
        <w:tc>
          <w:tcPr>
            <w:tcW w:type="dxa" w:w="1234"/>
          </w:tcPr>
          <w:p>
            <w:r>
              <w:rPr>
                <w:rFonts w:ascii="Calibri" w:hAnsi="Calibri"/>
                <w:sz w:val="22"/>
              </w:rPr>
              <w:t>Comparable Sales Growth — Industrial (%)</w:t>
            </w:r>
          </w:p>
        </w:tc>
        <w:tc>
          <w:tcPr>
            <w:tcW w:type="dxa" w:w="1234"/>
          </w:tcPr>
          <w:p>
            <w:r>
              <w:rPr>
                <w:rFonts w:ascii="Calibri" w:hAnsi="Calibri"/>
                <w:sz w:val="22"/>
              </w:rPr>
              <w:t>+3.9%</w:t>
            </w:r>
          </w:p>
        </w:tc>
        <w:tc>
          <w:tcPr>
            <w:tcW w:type="dxa" w:w="1234"/>
          </w:tcPr>
          <w:p>
            <w:r>
              <w:rPr>
                <w:rFonts w:ascii="Calibri" w:hAnsi="Calibri"/>
                <w:sz w:val="22"/>
              </w:rPr>
              <w:t>-0.1%</w:t>
            </w:r>
          </w:p>
        </w:tc>
        <w:tc>
          <w:tcPr>
            <w:tcW w:type="dxa" w:w="1234"/>
          </w:tcPr>
          <w:p>
            <w:r>
              <w:rPr>
                <w:rFonts w:ascii="Calibri" w:hAnsi="Calibri"/>
                <w:sz w:val="22"/>
              </w:rPr>
              <w:t>+4.4%</w:t>
            </w:r>
          </w:p>
        </w:tc>
        <w:tc>
          <w:tcPr>
            <w:tcW w:type="dxa" w:w="1234"/>
          </w:tcPr>
          <w:p>
            <w:r>
              <w:rPr>
                <w:rFonts w:ascii="Calibri" w:hAnsi="Calibri"/>
                <w:sz w:val="22"/>
              </w:rPr>
              <w:t>+450 bps YoY</w:t>
            </w:r>
          </w:p>
        </w:tc>
        <w:tc>
          <w:tcPr>
            <w:tcW w:type="dxa" w:w="1234"/>
          </w:tcPr>
          <w:p>
            <w:r>
              <w:rPr>
                <w:rFonts w:ascii="Calibri" w:hAnsi="Calibri"/>
                <w:sz w:val="22"/>
              </w:rPr>
              <w:t>+3% to +6%</w:t>
            </w:r>
          </w:p>
        </w:tc>
        <w:tc>
          <w:tcPr>
            <w:tcW w:type="dxa" w:w="1234"/>
          </w:tcPr>
          <w:p>
            <w:r>
              <w:rPr>
                <w:rFonts w:ascii="Calibri" w:hAnsi="Calibri"/>
                <w:sz w:val="22"/>
              </w:rPr>
              <w:t>~At midpoint</w:t>
            </w:r>
          </w:p>
        </w:tc>
      </w:tr>
      <w:tr>
        <w:tc>
          <w:tcPr>
            <w:tcW w:type="dxa" w:w="1234"/>
          </w:tcPr>
          <w:p>
            <w:r>
              <w:rPr>
                <w:rFonts w:ascii="Calibri" w:hAnsi="Calibri"/>
                <w:sz w:val="22"/>
              </w:rPr>
              <w:t>Adjusted EBITDA ($M)</w:t>
            </w:r>
          </w:p>
        </w:tc>
        <w:tc>
          <w:tcPr>
            <w:tcW w:type="dxa" w:w="1234"/>
          </w:tcPr>
          <w:p>
            <w:r>
              <w:rPr>
                <w:rFonts w:ascii="Calibri" w:hAnsi="Calibri"/>
                <w:sz w:val="22"/>
              </w:rPr>
              <w:t>$495.6M</w:t>
            </w:r>
          </w:p>
        </w:tc>
        <w:tc>
          <w:tcPr>
            <w:tcW w:type="dxa" w:w="1234"/>
          </w:tcPr>
          <w:p>
            <w:r>
              <w:rPr>
                <w:rFonts w:ascii="Calibri" w:hAnsi="Calibri"/>
                <w:sz w:val="22"/>
              </w:rPr>
              <w:t>$547.5M</w:t>
            </w:r>
          </w:p>
        </w:tc>
        <w:tc>
          <w:tcPr>
            <w:tcW w:type="dxa" w:w="1234"/>
          </w:tcPr>
          <w:p>
            <w:r>
              <w:rPr>
                <w:rFonts w:ascii="Calibri" w:hAnsi="Calibri"/>
                <w:sz w:val="22"/>
              </w:rPr>
              <w:t>$556.3M</w:t>
            </w:r>
          </w:p>
        </w:tc>
        <w:tc>
          <w:tcPr>
            <w:tcW w:type="dxa" w:w="1234"/>
          </w:tcPr>
          <w:p>
            <w:r>
              <w:rPr>
                <w:rFonts w:ascii="Calibri" w:hAnsi="Calibri"/>
                <w:sz w:val="22"/>
              </w:rPr>
              <w:t>+1.6%</w:t>
            </w:r>
          </w:p>
        </w:tc>
        <w:tc>
          <w:tcPr>
            <w:tcW w:type="dxa" w:w="1234"/>
          </w:tcPr>
          <w:p>
            <w:r>
              <w:rPr>
                <w:rFonts w:ascii="Calibri" w:hAnsi="Calibri"/>
                <w:sz w:val="22"/>
              </w:rPr>
              <w:t>N/A — segment-level only</w:t>
            </w:r>
          </w:p>
        </w:tc>
        <w:tc>
          <w:tcPr>
            <w:tcW w:type="dxa" w:w="1234"/>
          </w:tcPr>
          <w:p>
            <w:r>
              <w:rPr>
                <w:rFonts w:ascii="Calibri" w:hAnsi="Calibri"/>
                <w:sz w:val="22"/>
              </w:rPr>
              <w:t>N/A</w:t>
            </w:r>
          </w:p>
        </w:tc>
      </w:tr>
      <w:tr>
        <w:tc>
          <w:tcPr>
            <w:tcW w:type="dxa" w:w="1234"/>
          </w:tcPr>
          <w:p>
            <w:r>
              <w:rPr>
                <w:rFonts w:ascii="Calibri" w:hAnsi="Calibri"/>
                <w:sz w:val="22"/>
              </w:rPr>
              <w:t>Adjusted EBITDA Margin (%)</w:t>
            </w:r>
          </w:p>
        </w:tc>
        <w:tc>
          <w:tcPr>
            <w:tcW w:type="dxa" w:w="1234"/>
          </w:tcPr>
          <w:p>
            <w:r>
              <w:rPr>
                <w:rFonts w:ascii="Calibri" w:hAnsi="Calibri"/>
                <w:sz w:val="22"/>
              </w:rPr>
              <w:t>7.91%</w:t>
            </w:r>
          </w:p>
        </w:tc>
        <w:tc>
          <w:tcPr>
            <w:tcW w:type="dxa" w:w="1234"/>
          </w:tcPr>
          <w:p>
            <w:r>
              <w:rPr>
                <w:rFonts w:ascii="Calibri" w:hAnsi="Calibri"/>
                <w:sz w:val="22"/>
              </w:rPr>
              <w:t>8.88%</w:t>
            </w:r>
          </w:p>
        </w:tc>
        <w:tc>
          <w:tcPr>
            <w:tcW w:type="dxa" w:w="1234"/>
          </w:tcPr>
          <w:p>
            <w:r>
              <w:rPr>
                <w:rFonts w:ascii="Calibri" w:hAnsi="Calibri"/>
                <w:sz w:val="22"/>
              </w:rPr>
              <w:t>8.66%</w:t>
            </w:r>
          </w:p>
        </w:tc>
        <w:tc>
          <w:tcPr>
            <w:tcW w:type="dxa" w:w="1234"/>
          </w:tcPr>
          <w:p>
            <w:r>
              <w:rPr>
                <w:rFonts w:ascii="Calibri" w:hAnsi="Calibri"/>
                <w:sz w:val="22"/>
              </w:rPr>
              <w:t>-22 bps YoY</w:t>
            </w:r>
          </w:p>
        </w:tc>
        <w:tc>
          <w:tcPr>
            <w:tcW w:type="dxa" w:w="1234"/>
          </w:tcPr>
          <w:p>
            <w:r>
              <w:rPr>
                <w:rFonts w:ascii="Calibri" w:hAnsi="Calibri"/>
                <w:sz w:val="22"/>
              </w:rPr>
              <w:t>N/A — segment-level only</w:t>
            </w:r>
          </w:p>
        </w:tc>
        <w:tc>
          <w:tcPr>
            <w:tcW w:type="dxa" w:w="1234"/>
          </w:tcPr>
          <w:p>
            <w:r>
              <w:rPr>
                <w:rFonts w:ascii="Calibri" w:hAnsi="Calibri"/>
                <w:sz w:val="22"/>
              </w:rPr>
              <w:t>N/A</w:t>
            </w:r>
          </w:p>
        </w:tc>
      </w:tr>
      <w:tr>
        <w:tc>
          <w:tcPr>
            <w:tcW w:type="dxa" w:w="1234"/>
          </w:tcPr>
          <w:p>
            <w:r>
              <w:rPr>
                <w:rFonts w:ascii="Calibri" w:hAnsi="Calibri"/>
                <w:sz w:val="22"/>
              </w:rPr>
              <w:t>EBITDA Margin — Automotive (%)</w:t>
            </w:r>
          </w:p>
        </w:tc>
        <w:tc>
          <w:tcPr>
            <w:tcW w:type="dxa" w:w="1234"/>
          </w:tcPr>
          <w:p>
            <w:r>
              <w:rPr>
                <w:rFonts w:ascii="Calibri" w:hAnsi="Calibri"/>
                <w:sz w:val="22"/>
              </w:rPr>
              <w:t>7.62%</w:t>
            </w:r>
          </w:p>
        </w:tc>
        <w:tc>
          <w:tcPr>
            <w:tcW w:type="dxa" w:w="1234"/>
          </w:tcPr>
          <w:p>
            <w:r>
              <w:rPr>
                <w:rFonts w:ascii="Calibri" w:hAnsi="Calibri"/>
                <w:sz w:val="22"/>
              </w:rPr>
              <w:t>8.64%</w:t>
            </w:r>
          </w:p>
        </w:tc>
        <w:tc>
          <w:tcPr>
            <w:tcW w:type="dxa" w:w="1234"/>
          </w:tcPr>
          <w:p>
            <w:r>
              <w:rPr>
                <w:rFonts w:ascii="Calibri" w:hAnsi="Calibri"/>
                <w:sz w:val="22"/>
              </w:rPr>
              <w:t>8.56%</w:t>
            </w:r>
          </w:p>
        </w:tc>
        <w:tc>
          <w:tcPr>
            <w:tcW w:type="dxa" w:w="1234"/>
          </w:tcPr>
          <w:p>
            <w:r>
              <w:rPr>
                <w:rFonts w:ascii="Calibri" w:hAnsi="Calibri"/>
                <w:sz w:val="22"/>
              </w:rPr>
              <w:t>-8 bps YoY</w:t>
            </w:r>
          </w:p>
        </w:tc>
        <w:tc>
          <w:tcPr>
            <w:tcW w:type="dxa" w:w="1234"/>
          </w:tcPr>
          <w:p>
            <w:r>
              <w:rPr>
                <w:rFonts w:ascii="Calibri" w:hAnsi="Calibri"/>
                <w:sz w:val="22"/>
              </w:rPr>
              <w:t>Seg. EBITDA $560M–$600M (Intl) / $700M–$730M (NA)</w:t>
            </w:r>
          </w:p>
        </w:tc>
        <w:tc>
          <w:tcPr>
            <w:tcW w:type="dxa" w:w="1234"/>
          </w:tcPr>
          <w:p>
            <w:r>
              <w:rPr>
                <w:rFonts w:ascii="Calibri" w:hAnsi="Calibri"/>
                <w:sz w:val="22"/>
              </w:rPr>
              <w:t>~In line</w:t>
            </w:r>
          </w:p>
        </w:tc>
      </w:tr>
      <w:tr>
        <w:tc>
          <w:tcPr>
            <w:tcW w:type="dxa" w:w="1234"/>
          </w:tcPr>
          <w:p>
            <w:r>
              <w:rPr>
                <w:rFonts w:ascii="Calibri" w:hAnsi="Calibri"/>
                <w:sz w:val="22"/>
              </w:rPr>
              <w:t>EBITDA Margin — Industrial (%)</w:t>
            </w:r>
          </w:p>
        </w:tc>
        <w:tc>
          <w:tcPr>
            <w:tcW w:type="dxa" w:w="1234"/>
          </w:tcPr>
          <w:p>
            <w:r>
              <w:rPr>
                <w:rFonts w:ascii="Calibri" w:hAnsi="Calibri"/>
                <w:sz w:val="22"/>
              </w:rPr>
              <w:t>13.56%</w:t>
            </w:r>
          </w:p>
        </w:tc>
        <w:tc>
          <w:tcPr>
            <w:tcW w:type="dxa" w:w="1234"/>
          </w:tcPr>
          <w:p>
            <w:r>
              <w:rPr>
                <w:rFonts w:ascii="Calibri" w:hAnsi="Calibri"/>
                <w:sz w:val="22"/>
              </w:rPr>
              <w:t>12.79%</w:t>
            </w:r>
          </w:p>
        </w:tc>
        <w:tc>
          <w:tcPr>
            <w:tcW w:type="dxa" w:w="1234"/>
          </w:tcPr>
          <w:p>
            <w:r>
              <w:rPr>
                <w:rFonts w:ascii="Calibri" w:hAnsi="Calibri"/>
                <w:sz w:val="22"/>
              </w:rPr>
              <w:t>13.40%</w:t>
            </w:r>
          </w:p>
        </w:tc>
        <w:tc>
          <w:tcPr>
            <w:tcW w:type="dxa" w:w="1234"/>
          </w:tcPr>
          <w:p>
            <w:r>
              <w:rPr>
                <w:rFonts w:ascii="Calibri" w:hAnsi="Calibri"/>
                <w:sz w:val="22"/>
              </w:rPr>
              <w:t>+61 bps YoY</w:t>
            </w:r>
          </w:p>
        </w:tc>
        <w:tc>
          <w:tcPr>
            <w:tcW w:type="dxa" w:w="1234"/>
          </w:tcPr>
          <w:p>
            <w:r>
              <w:rPr>
                <w:rFonts w:ascii="Calibri" w:hAnsi="Calibri"/>
                <w:sz w:val="22"/>
              </w:rPr>
              <w:t>Seg. EBITDA $1.2B–$1.3B</w:t>
            </w:r>
          </w:p>
        </w:tc>
        <w:tc>
          <w:tcPr>
            <w:tcW w:type="dxa" w:w="1234"/>
          </w:tcPr>
          <w:p>
            <w:r>
              <w:rPr>
                <w:rFonts w:ascii="Calibri" w:hAnsi="Calibri"/>
                <w:sz w:val="22"/>
              </w:rPr>
              <w:t>~In line</w:t>
            </w:r>
          </w:p>
        </w:tc>
      </w:tr>
      <w:tr>
        <w:tc>
          <w:tcPr>
            <w:tcW w:type="dxa" w:w="1234"/>
          </w:tcPr>
          <w:p>
            <w:r>
              <w:rPr>
                <w:rFonts w:ascii="Calibri" w:hAnsi="Calibri"/>
                <w:sz w:val="22"/>
              </w:rPr>
              <w:t>Adjusted Diluted EPS ($)</w:t>
            </w:r>
          </w:p>
        </w:tc>
        <w:tc>
          <w:tcPr>
            <w:tcW w:type="dxa" w:w="1234"/>
          </w:tcPr>
          <w:p>
            <w:r>
              <w:rPr>
                <w:rFonts w:ascii="Calibri" w:hAnsi="Calibri"/>
                <w:sz w:val="22"/>
              </w:rPr>
              <w:t>$1.77</w:t>
            </w:r>
          </w:p>
        </w:tc>
        <w:tc>
          <w:tcPr>
            <w:tcW w:type="dxa" w:w="1234"/>
          </w:tcPr>
          <w:p>
            <w:r>
              <w:rPr>
                <w:rFonts w:ascii="Calibri" w:hAnsi="Calibri"/>
                <w:sz w:val="22"/>
              </w:rPr>
              <w:t>$2.10</w:t>
            </w:r>
          </w:p>
        </w:tc>
        <w:tc>
          <w:tcPr>
            <w:tcW w:type="dxa" w:w="1234"/>
          </w:tcPr>
          <w:p>
            <w:r>
              <w:rPr>
                <w:rFonts w:ascii="Calibri" w:hAnsi="Calibri"/>
                <w:sz w:val="22"/>
              </w:rPr>
              <w:t>$2.07</w:t>
            </w:r>
          </w:p>
        </w:tc>
        <w:tc>
          <w:tcPr>
            <w:tcW w:type="dxa" w:w="1234"/>
          </w:tcPr>
          <w:p>
            <w:r>
              <w:rPr>
                <w:rFonts w:ascii="Calibri" w:hAnsi="Calibri"/>
                <w:sz w:val="22"/>
              </w:rPr>
              <w:t>-1.4% YoY</w:t>
            </w:r>
          </w:p>
        </w:tc>
        <w:tc>
          <w:tcPr>
            <w:tcW w:type="dxa" w:w="1234"/>
          </w:tcPr>
          <w:p>
            <w:r>
              <w:rPr>
                <w:rFonts w:ascii="Calibri" w:hAnsi="Calibri"/>
                <w:sz w:val="22"/>
              </w:rPr>
              <w:t>$7.50–$8.00 FY adj. EPS</w:t>
            </w:r>
          </w:p>
        </w:tc>
        <w:tc>
          <w:tcPr>
            <w:tcW w:type="dxa" w:w="1234"/>
          </w:tcPr>
          <w:p>
            <w:r>
              <w:rPr>
                <w:rFonts w:ascii="Calibri" w:hAnsi="Calibri"/>
                <w:sz w:val="22"/>
              </w:rPr>
              <w:t>~At midpoint</w:t>
            </w:r>
          </w:p>
        </w:tc>
      </w:tr>
      <w:tr>
        <w:tc>
          <w:tcPr>
            <w:tcW w:type="dxa" w:w="1234"/>
          </w:tcPr>
          <w:p>
            <w:r>
              <w:rPr>
                <w:rFonts w:ascii="Calibri" w:hAnsi="Calibri"/>
                <w:sz w:val="22"/>
              </w:rPr>
              <w:t>Free Cash Flow ($M)</w:t>
            </w:r>
          </w:p>
        </w:tc>
        <w:tc>
          <w:tcPr>
            <w:tcW w:type="dxa" w:w="1234"/>
          </w:tcPr>
          <w:p>
            <w:r>
              <w:rPr>
                <w:rFonts w:ascii="Calibri" w:hAnsi="Calibri"/>
                <w:sz w:val="22"/>
              </w:rPr>
              <w:t>-$33.6M</w:t>
            </w:r>
          </w:p>
        </w:tc>
        <w:tc>
          <w:tcPr>
            <w:tcW w:type="dxa" w:w="1234"/>
          </w:tcPr>
          <w:p>
            <w:r>
              <w:rPr>
                <w:rFonts w:ascii="Calibri" w:hAnsi="Calibri"/>
                <w:sz w:val="22"/>
              </w:rPr>
              <w:t>$81.0M</w:t>
            </w:r>
          </w:p>
        </w:tc>
        <w:tc>
          <w:tcPr>
            <w:tcW w:type="dxa" w:w="1234"/>
          </w:tcPr>
          <w:p>
            <w:r>
              <w:rPr>
                <w:rFonts w:ascii="Calibri" w:hAnsi="Calibri"/>
                <w:sz w:val="22"/>
              </w:rPr>
              <w:t>$122.3M</w:t>
            </w:r>
          </w:p>
        </w:tc>
        <w:tc>
          <w:tcPr>
            <w:tcW w:type="dxa" w:w="1234"/>
          </w:tcPr>
          <w:p>
            <w:r>
              <w:rPr>
                <w:rFonts w:ascii="Calibri" w:hAnsi="Calibri"/>
                <w:sz w:val="22"/>
              </w:rPr>
              <w:t>+51.0%</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20,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$6.26B</w:t>
            </w:r>
          </w:p>
        </w:tc>
        <w:tc>
          <w:tcPr>
            <w:tcW w:type="dxa" w:w="1440"/>
          </w:tcPr>
          <w:p>
            <w:r>
              <w:rPr>
                <w:rFonts w:ascii="Calibri" w:hAnsi="Calibri"/>
                <w:sz w:val="22"/>
              </w:rPr>
              <w:t>$6.18B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$1.77</w:t>
            </w:r>
          </w:p>
        </w:tc>
        <w:tc>
          <w:tcPr>
            <w:tcW w:type="dxa" w:w="1440"/>
          </w:tcPr>
          <w:p>
            <w:r>
              <w:rPr>
                <w:rFonts w:ascii="Calibri" w:hAnsi="Calibri"/>
                <w:sz w:val="22"/>
              </w:rPr>
              <w:t>$1.75</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$6.01B</w:t>
            </w:r>
          </w:p>
        </w:tc>
        <w:tc>
          <w:tcPr>
            <w:tcW w:type="dxa" w:w="1440"/>
          </w:tcPr>
          <w:p>
            <w:r>
              <w:rPr>
                <w:rFonts w:ascii="Calibri" w:hAnsi="Calibri"/>
                <w:sz w:val="22"/>
              </w:rPr>
              <w:t>$6.06B</w:t>
            </w:r>
          </w:p>
        </w:tc>
        <w:tc>
          <w:tcPr>
            <w:tcW w:type="dxa" w:w="1440"/>
          </w:tcPr>
          <w:p>
            <w:r>
              <w:rPr>
                <w:rFonts w:ascii="Calibri" w:hAnsi="Calibri"/>
                <w:b/>
                <w:color w:val="E5484D"/>
                <w:sz w:val="22"/>
              </w:rPr>
              <w:t>-0.8%</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$1.82</w:t>
            </w:r>
          </w:p>
        </w:tc>
        <w:tc>
          <w:tcPr>
            <w:tcW w:type="dxa" w:w="1440"/>
          </w:tcPr>
          <w:p>
            <w:r>
              <w:rPr>
                <w:rFonts w:ascii="Calibri" w:hAnsi="Calibri"/>
                <w:b/>
                <w:color w:val="E5484D"/>
                <w:sz w:val="22"/>
              </w:rPr>
              <w:t>-14.8%</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$6.26B</w:t>
            </w:r>
          </w:p>
        </w:tc>
        <w:tc>
          <w:tcPr>
            <w:tcW w:type="dxa" w:w="1440"/>
          </w:tcPr>
          <w:p>
            <w:r>
              <w:rPr>
                <w:rFonts w:ascii="Calibri" w:hAnsi="Calibri"/>
                <w:sz w:val="22"/>
              </w:rPr>
              <w:t>$6.13B</w:t>
            </w:r>
          </w:p>
        </w:tc>
        <w:tc>
          <w:tcPr>
            <w:tcW w:type="dxa" w:w="1440"/>
          </w:tcPr>
          <w:p>
            <w:r>
              <w:rPr>
                <w:rFonts w:ascii="Calibri" w:hAnsi="Calibri"/>
                <w:b/>
                <w:color w:val="30A46C"/>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$1.98</w:t>
            </w:r>
          </w:p>
        </w:tc>
        <w:tc>
          <w:tcPr>
            <w:tcW w:type="dxa" w:w="1440"/>
          </w:tcPr>
          <w:p>
            <w:r>
              <w:rPr>
                <w:rFonts w:ascii="Calibri" w:hAnsi="Calibri"/>
                <w:sz w:val="22"/>
              </w:rPr>
              <w:t>$1.99</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$6.16B</w:t>
            </w:r>
          </w:p>
        </w:tc>
        <w:tc>
          <w:tcPr>
            <w:tcW w:type="dxa" w:w="1440"/>
          </w:tcPr>
          <w:p>
            <w:r>
              <w:rPr>
                <w:rFonts w:ascii="Calibri" w:hAnsi="Calibri"/>
                <w:sz w:val="22"/>
              </w:rPr>
              <w:t>$6.11B</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$2.10</w:t>
            </w:r>
          </w:p>
        </w:tc>
        <w:tc>
          <w:tcPr>
            <w:tcW w:type="dxa" w:w="1440"/>
          </w:tcPr>
          <w:p>
            <w:r>
              <w:rPr>
                <w:rFonts w:ascii="Calibri" w:hAnsi="Calibri"/>
                <w:sz w:val="22"/>
              </w:rPr>
              <w:t>$2.07</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$5.87B</w:t>
            </w:r>
          </w:p>
        </w:tc>
        <w:tc>
          <w:tcPr>
            <w:tcW w:type="dxa" w:w="1440"/>
          </w:tcPr>
          <w:p>
            <w:r>
              <w:rPr>
                <w:rFonts w:ascii="Calibri" w:hAnsi="Calibri"/>
                <w:sz w:val="22"/>
              </w:rPr>
              <w:t>$5.83B</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$1.75</w:t>
            </w:r>
          </w:p>
        </w:tc>
        <w:tc>
          <w:tcPr>
            <w:tcW w:type="dxa" w:w="1440"/>
          </w:tcPr>
          <w:p>
            <w:r>
              <w:rPr>
                <w:rFonts w:ascii="Calibri" w:hAnsi="Calibri"/>
                <w:sz w:val="22"/>
              </w:rPr>
              <w:t>$1.67</w:t>
            </w:r>
          </w:p>
        </w:tc>
        <w:tc>
          <w:tcPr>
            <w:tcW w:type="dxa" w:w="1440"/>
          </w:tcPr>
          <w:p>
            <w:r>
              <w:rPr>
                <w:rFonts w:ascii="Calibri" w:hAnsi="Calibri"/>
                <w:b/>
                <w:color w:val="30A46C"/>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$5.77B</w:t>
            </w:r>
          </w:p>
        </w:tc>
        <w:tc>
          <w:tcPr>
            <w:tcW w:type="dxa" w:w="1440"/>
          </w:tcPr>
          <w:p>
            <w:r>
              <w:rPr>
                <w:rFonts w:ascii="Calibri" w:hAnsi="Calibri"/>
                <w:sz w:val="22"/>
              </w:rPr>
              <w:t>$5.71B</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$1.61</w:t>
            </w:r>
          </w:p>
        </w:tc>
        <w:tc>
          <w:tcPr>
            <w:tcW w:type="dxa" w:w="1440"/>
          </w:tcPr>
          <w:p>
            <w:r>
              <w:rPr>
                <w:rFonts w:ascii="Calibri" w:hAnsi="Calibri"/>
                <w:sz w:val="22"/>
              </w:rPr>
              <w:t>$1.55</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$5.97B</w:t>
            </w:r>
          </w:p>
        </w:tc>
        <w:tc>
          <w:tcPr>
            <w:tcW w:type="dxa" w:w="1440"/>
          </w:tcPr>
          <w:p>
            <w:r>
              <w:rPr>
                <w:rFonts w:ascii="Calibri" w:hAnsi="Calibri"/>
                <w:sz w:val="22"/>
              </w:rPr>
              <w:t>$5.93B</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$1.88</w:t>
            </w:r>
          </w:p>
        </w:tc>
        <w:tc>
          <w:tcPr>
            <w:tcW w:type="dxa" w:w="1440"/>
          </w:tcPr>
          <w:p>
            <w:r>
              <w:rPr>
                <w:rFonts w:ascii="Calibri" w:hAnsi="Calibri"/>
                <w:sz w:val="22"/>
              </w:rPr>
              <w:t>$2.41</w:t>
            </w:r>
          </w:p>
        </w:tc>
        <w:tc>
          <w:tcPr>
            <w:tcW w:type="dxa" w:w="1440"/>
          </w:tcPr>
          <w:p>
            <w:r>
              <w:rPr>
                <w:rFonts w:ascii="Calibri" w:hAnsi="Calibri"/>
                <w:b/>
                <w:color w:val="E5484D"/>
                <w:sz w:val="22"/>
              </w:rPr>
              <w:t>-22.0%</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$5.96B</w:t>
            </w:r>
          </w:p>
        </w:tc>
        <w:tc>
          <w:tcPr>
            <w:tcW w:type="dxa" w:w="1440"/>
          </w:tcPr>
          <w:p>
            <w:r>
              <w:rPr>
                <w:rFonts w:ascii="Calibri" w:hAnsi="Calibri"/>
                <w:sz w:val="22"/>
              </w:rPr>
              <w:t>$6.05B</w:t>
            </w:r>
          </w:p>
        </w:tc>
        <w:tc>
          <w:tcPr>
            <w:tcW w:type="dxa" w:w="1440"/>
          </w:tcPr>
          <w:p>
            <w:r>
              <w:rPr>
                <w:rFonts w:ascii="Calibri" w:hAnsi="Calibri"/>
                <w:b/>
                <w:color w:val="E5484D"/>
                <w:sz w:val="22"/>
              </w:rPr>
              <w:t>-1.4%</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$2.44</w:t>
            </w:r>
          </w:p>
        </w:tc>
        <w:tc>
          <w:tcPr>
            <w:tcW w:type="dxa" w:w="1440"/>
          </w:tcPr>
          <w:p>
            <w:r>
              <w:rPr>
                <w:rFonts w:ascii="Calibri" w:hAnsi="Calibri"/>
                <w:sz w:val="22"/>
              </w:rPr>
              <w:t>$2.58</w:t>
            </w:r>
          </w:p>
        </w:tc>
        <w:tc>
          <w:tcPr>
            <w:tcW w:type="dxa" w:w="1440"/>
          </w:tcPr>
          <w:p>
            <w:r>
              <w:rPr>
                <w:rFonts w:ascii="Calibri" w:hAnsi="Calibri"/>
                <w:b/>
                <w:color w:val="E5484D"/>
                <w:sz w:val="22"/>
              </w:rPr>
              <w:t>-5.4%</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Revenue has been a more consistent beat (6 of 8 quarters), while adjusted EPS has been more volatile — the Q3 2024 and Q4 2025 EPS misses were driven by depreciation/interest expense headwinds and restructuring charges rather than operational weakness. The Q2 2026 EPS consensus of $2.07 is essentially flat vs. the $2.10 reported in Q2 2025, setting a low bar that should be achievable if the Iran conflict headwind stays within the guided $10–$20M EBITDA range.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Full-year 2026 guidance was reaffirmed unchanged at Q1 — revenue growth of 3%–5.5% and adjusted EPS of $7.50–$8.00 — with the only incremental change being the explicit quantification of a $10–$20M EBITDA headwind from the Iran conflict concentrated in Q2; tone has shifted from cautiously optimistic to prudently defensive for the middle quarters, with the back half expected to recover.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Guidance Item</w:t>
            </w:r>
          </w:p>
        </w:tc>
        <w:tc>
          <w:tcPr>
            <w:tcW w:type="dxa" w:w="2160"/>
            <w:shd w:val="clear" w:color="auto" w:fill="3B4259"/>
          </w:tcPr>
          <w:p>
            <w:r>
              <w:rPr>
                <w:rFonts w:ascii="Calibri" w:hAnsi="Calibri"/>
                <w:b/>
                <w:color w:val="FFFFFF"/>
                <w:sz w:val="22"/>
              </w:rPr>
              <w:t>Q4 2025 Earnings (Feb 17, 2026) — Baseline</w:t>
            </w:r>
          </w:p>
        </w:tc>
        <w:tc>
          <w:tcPr>
            <w:tcW w:type="dxa" w:w="2160"/>
            <w:shd w:val="clear" w:color="auto" w:fill="3B4259"/>
          </w:tcPr>
          <w:p>
            <w:r>
              <w:rPr>
                <w:rFonts w:ascii="Calibri" w:hAnsi="Calibri"/>
                <w:b/>
                <w:color w:val="FFFFFF"/>
                <w:sz w:val="22"/>
              </w:rPr>
              <w:t>Q1 2026 Earnings (Apr 21, 2026) — Revised</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Total Revenue Growth (FY2026)</w:t>
            </w:r>
          </w:p>
        </w:tc>
        <w:tc>
          <w:tcPr>
            <w:tcW w:type="dxa" w:w="2160"/>
          </w:tcPr>
          <w:p>
            <w:r>
              <w:rPr>
                <w:rFonts w:ascii="Calibri" w:hAnsi="Calibri"/>
                <w:sz w:val="22"/>
              </w:rPr>
              <w:t>+3% to +5.5%</w:t>
            </w:r>
          </w:p>
        </w:tc>
        <w:tc>
          <w:tcPr>
            <w:tcW w:type="dxa" w:w="2160"/>
          </w:tcPr>
          <w:p>
            <w:r>
              <w:rPr>
                <w:rFonts w:ascii="Calibri" w:hAnsi="Calibri"/>
                <w:sz w:val="22"/>
              </w:rPr>
              <w:t>+3% to +5.5% (reaffirmed)</w:t>
            </w:r>
          </w:p>
        </w:tc>
        <w:tc>
          <w:tcPr>
            <w:tcW w:type="dxa" w:w="2160"/>
          </w:tcPr>
          <w:p>
            <w:r>
              <w:rPr>
                <w:rFonts w:ascii="Calibri" w:hAnsi="Calibri"/>
                <w:sz w:val="22"/>
              </w:rPr>
              <w:t>→ Unchanged</w:t>
            </w:r>
          </w:p>
        </w:tc>
      </w:tr>
      <w:tr>
        <w:tc>
          <w:tcPr>
            <w:tcW w:type="dxa" w:w="2160"/>
          </w:tcPr>
          <w:p>
            <w:r>
              <w:rPr>
                <w:rFonts w:ascii="Calibri" w:hAnsi="Calibri"/>
                <w:sz w:val="22"/>
              </w:rPr>
              <w:t>Adjusted Diluted EPS (FY2026)</w:t>
            </w:r>
          </w:p>
        </w:tc>
        <w:tc>
          <w:tcPr>
            <w:tcW w:type="dxa" w:w="2160"/>
          </w:tcPr>
          <w:p>
            <w:r>
              <w:rPr>
                <w:rFonts w:ascii="Calibri" w:hAnsi="Calibri"/>
                <w:sz w:val="22"/>
              </w:rPr>
              <w:t>$7.50–$8.00 (+5% at midpoint vs. 2025)</w:t>
            </w:r>
          </w:p>
        </w:tc>
        <w:tc>
          <w:tcPr>
            <w:tcW w:type="dxa" w:w="2160"/>
          </w:tcPr>
          <w:p>
            <w:r>
              <w:rPr>
                <w:rFonts w:ascii="Calibri" w:hAnsi="Calibri"/>
                <w:sz w:val="22"/>
              </w:rPr>
              <w:t>$7.50–$8.00 (reaffirmed)</w:t>
            </w:r>
          </w:p>
        </w:tc>
        <w:tc>
          <w:tcPr>
            <w:tcW w:type="dxa" w:w="2160"/>
          </w:tcPr>
          <w:p>
            <w:r>
              <w:rPr>
                <w:rFonts w:ascii="Calibri" w:hAnsi="Calibri"/>
                <w:sz w:val="22"/>
              </w:rPr>
              <w:t>→ Unchanged</w:t>
            </w:r>
          </w:p>
        </w:tc>
      </w:tr>
      <w:tr>
        <w:tc>
          <w:tcPr>
            <w:tcW w:type="dxa" w:w="2160"/>
          </w:tcPr>
          <w:p>
            <w:r>
              <w:rPr>
                <w:rFonts w:ascii="Calibri" w:hAnsi="Calibri"/>
                <w:sz w:val="22"/>
              </w:rPr>
              <w:t>Diluted EPS (GAAP, FY2026)</w:t>
            </w:r>
          </w:p>
        </w:tc>
        <w:tc>
          <w:tcPr>
            <w:tcW w:type="dxa" w:w="2160"/>
          </w:tcPr>
          <w:p>
            <w:r>
              <w:rPr>
                <w:rFonts w:ascii="Calibri" w:hAnsi="Calibri"/>
                <w:sz w:val="22"/>
              </w:rPr>
              <w:t>$6.10–$6.60</w:t>
            </w:r>
          </w:p>
        </w:tc>
        <w:tc>
          <w:tcPr>
            <w:tcW w:type="dxa" w:w="2160"/>
          </w:tcPr>
          <w:p>
            <w:r>
              <w:rPr>
                <w:rFonts w:ascii="Calibri" w:hAnsi="Calibri"/>
                <w:sz w:val="22"/>
              </w:rPr>
              <w:t>$6.10–$6.60 (reaffirmed)</w:t>
            </w:r>
          </w:p>
        </w:tc>
        <w:tc>
          <w:tcPr>
            <w:tcW w:type="dxa" w:w="2160"/>
          </w:tcPr>
          <w:p>
            <w:r>
              <w:rPr>
                <w:rFonts w:ascii="Calibri" w:hAnsi="Calibri"/>
                <w:sz w:val="22"/>
              </w:rPr>
              <w:t>→ Unchanged</w:t>
            </w:r>
          </w:p>
        </w:tc>
      </w:tr>
      <w:tr>
        <w:tc>
          <w:tcPr>
            <w:tcW w:type="dxa" w:w="2160"/>
          </w:tcPr>
          <w:p>
            <w:r>
              <w:rPr>
                <w:rFonts w:ascii="Calibri" w:hAnsi="Calibri"/>
                <w:sz w:val="22"/>
              </w:rPr>
              <w:t>Pricing Benefit (incl. tariffs)</w:t>
            </w:r>
          </w:p>
        </w:tc>
        <w:tc>
          <w:tcPr>
            <w:tcW w:type="dxa" w:w="2160"/>
          </w:tcPr>
          <w:p>
            <w:r>
              <w:rPr>
                <w:rFonts w:ascii="Calibri" w:hAnsi="Calibri"/>
                <w:sz w:val="22"/>
              </w:rPr>
              <w:t>~2% for FY2026</w:t>
            </w:r>
          </w:p>
        </w:tc>
        <w:tc>
          <w:tcPr>
            <w:tcW w:type="dxa" w:w="2160"/>
          </w:tcPr>
          <w:p>
            <w:r>
              <w:rPr>
                <w:rFonts w:ascii="Calibri" w:hAnsi="Calibri"/>
                <w:sz w:val="22"/>
              </w:rPr>
              <w:t>~2% for FY2026 (reaffirmed)</w:t>
            </w:r>
          </w:p>
        </w:tc>
        <w:tc>
          <w:tcPr>
            <w:tcW w:type="dxa" w:w="2160"/>
          </w:tcPr>
          <w:p>
            <w:r>
              <w:rPr>
                <w:rFonts w:ascii="Calibri" w:hAnsi="Calibri"/>
                <w:sz w:val="22"/>
              </w:rPr>
              <w:t>→ Unchanged</w:t>
            </w:r>
          </w:p>
        </w:tc>
      </w:tr>
      <w:tr>
        <w:tc>
          <w:tcPr>
            <w:tcW w:type="dxa" w:w="2160"/>
          </w:tcPr>
          <w:p>
            <w:r>
              <w:rPr>
                <w:rFonts w:ascii="Calibri" w:hAnsi="Calibri"/>
                <w:sz w:val="22"/>
              </w:rPr>
              <w:t>NA Automotive Comp Sales Growth</w:t>
            </w:r>
          </w:p>
        </w:tc>
        <w:tc>
          <w:tcPr>
            <w:tcW w:type="dxa" w:w="2160"/>
          </w:tcPr>
          <w:p>
            <w:r>
              <w:rPr>
                <w:rFonts w:ascii="Calibri" w:hAnsi="Calibri"/>
                <w:sz w:val="22"/>
              </w:rPr>
              <w:t>+1.5% to +3.5%</w:t>
            </w:r>
          </w:p>
        </w:tc>
        <w:tc>
          <w:tcPr>
            <w:tcW w:type="dxa" w:w="2160"/>
          </w:tcPr>
          <w:p>
            <w:r>
              <w:rPr>
                <w:rFonts w:ascii="Calibri" w:hAnsi="Calibri"/>
                <w:sz w:val="22"/>
              </w:rPr>
              <w:t>+1.5% to +3.5% (reaffirmed)</w:t>
            </w:r>
          </w:p>
        </w:tc>
        <w:tc>
          <w:tcPr>
            <w:tcW w:type="dxa" w:w="2160"/>
          </w:tcPr>
          <w:p>
            <w:r>
              <w:rPr>
                <w:rFonts w:ascii="Calibri" w:hAnsi="Calibri"/>
                <w:sz w:val="22"/>
              </w:rPr>
              <w:t>→ Unchanged</w:t>
            </w:r>
          </w:p>
        </w:tc>
      </w:tr>
      <w:tr>
        <w:tc>
          <w:tcPr>
            <w:tcW w:type="dxa" w:w="2160"/>
          </w:tcPr>
          <w:p>
            <w:r>
              <w:rPr>
                <w:rFonts w:ascii="Calibri" w:hAnsi="Calibri"/>
                <w:sz w:val="22"/>
              </w:rPr>
              <w:t>International Automotive Comp Sales Growth</w:t>
            </w:r>
          </w:p>
        </w:tc>
        <w:tc>
          <w:tcPr>
            <w:tcW w:type="dxa" w:w="2160"/>
          </w:tcPr>
          <w:p>
            <w:r>
              <w:rPr>
                <w:rFonts w:ascii="Calibri" w:hAnsi="Calibri"/>
                <w:sz w:val="22"/>
              </w:rPr>
              <w:t>+1.5% to +3.5%</w:t>
            </w:r>
          </w:p>
        </w:tc>
        <w:tc>
          <w:tcPr>
            <w:tcW w:type="dxa" w:w="2160"/>
          </w:tcPr>
          <w:p>
            <w:r>
              <w:rPr>
                <w:rFonts w:ascii="Calibri" w:hAnsi="Calibri"/>
                <w:sz w:val="22"/>
              </w:rPr>
              <w:t>+1.5% to +3.5% (reaffirmed)</w:t>
            </w:r>
          </w:p>
        </w:tc>
        <w:tc>
          <w:tcPr>
            <w:tcW w:type="dxa" w:w="2160"/>
          </w:tcPr>
          <w:p>
            <w:r>
              <w:rPr>
                <w:rFonts w:ascii="Calibri" w:hAnsi="Calibri"/>
                <w:sz w:val="22"/>
              </w:rPr>
              <w:t>→ Unchanged</w:t>
            </w:r>
          </w:p>
        </w:tc>
      </w:tr>
      <w:tr>
        <w:tc>
          <w:tcPr>
            <w:tcW w:type="dxa" w:w="2160"/>
          </w:tcPr>
          <w:p>
            <w:r>
              <w:rPr>
                <w:rFonts w:ascii="Calibri" w:hAnsi="Calibri"/>
                <w:sz w:val="22"/>
              </w:rPr>
              <w:t>Industrial Comp Sales Growth</w:t>
            </w:r>
          </w:p>
        </w:tc>
        <w:tc>
          <w:tcPr>
            <w:tcW w:type="dxa" w:w="2160"/>
          </w:tcPr>
          <w:p>
            <w:r>
              <w:rPr>
                <w:rFonts w:ascii="Calibri" w:hAnsi="Calibri"/>
                <w:sz w:val="22"/>
              </w:rPr>
              <w:t>+3% to +6%</w:t>
            </w:r>
          </w:p>
        </w:tc>
        <w:tc>
          <w:tcPr>
            <w:tcW w:type="dxa" w:w="2160"/>
          </w:tcPr>
          <w:p>
            <w:r>
              <w:rPr>
                <w:rFonts w:ascii="Calibri" w:hAnsi="Calibri"/>
                <w:sz w:val="22"/>
              </w:rPr>
              <w:t>+3% to +6% (reaffirmed)</w:t>
            </w:r>
          </w:p>
        </w:tc>
        <w:tc>
          <w:tcPr>
            <w:tcW w:type="dxa" w:w="2160"/>
          </w:tcPr>
          <w:p>
            <w:r>
              <w:rPr>
                <w:rFonts w:ascii="Calibri" w:hAnsi="Calibri"/>
                <w:sz w:val="22"/>
              </w:rPr>
              <w:t>→ Unchanged</w:t>
            </w:r>
          </w:p>
        </w:tc>
      </w:tr>
      <w:tr>
        <w:tc>
          <w:tcPr>
            <w:tcW w:type="dxa" w:w="2160"/>
          </w:tcPr>
          <w:p>
            <w:r>
              <w:rPr>
                <w:rFonts w:ascii="Calibri" w:hAnsi="Calibri"/>
                <w:sz w:val="22"/>
              </w:rPr>
              <w:t>NA Automotive Segment EBITDA</w:t>
            </w:r>
          </w:p>
        </w:tc>
        <w:tc>
          <w:tcPr>
            <w:tcW w:type="dxa" w:w="2160"/>
          </w:tcPr>
          <w:p>
            <w:r>
              <w:rPr>
                <w:rFonts w:ascii="Calibri" w:hAnsi="Calibri"/>
                <w:sz w:val="22"/>
              </w:rPr>
              <w:t>$700M–$730M (+5% to +9% YoY)</w:t>
            </w:r>
          </w:p>
        </w:tc>
        <w:tc>
          <w:tcPr>
            <w:tcW w:type="dxa" w:w="2160"/>
          </w:tcPr>
          <w:p>
            <w:r>
              <w:rPr>
                <w:rFonts w:ascii="Calibri" w:hAnsi="Calibri"/>
                <w:sz w:val="22"/>
              </w:rPr>
              <w:t>$700M–$730M (reaffirmed)</w:t>
            </w:r>
          </w:p>
        </w:tc>
        <w:tc>
          <w:tcPr>
            <w:tcW w:type="dxa" w:w="2160"/>
          </w:tcPr>
          <w:p>
            <w:r>
              <w:rPr>
                <w:rFonts w:ascii="Calibri" w:hAnsi="Calibri"/>
                <w:sz w:val="22"/>
              </w:rPr>
              <w:t>→ Unchanged</w:t>
            </w:r>
          </w:p>
        </w:tc>
      </w:tr>
      <w:tr>
        <w:tc>
          <w:tcPr>
            <w:tcW w:type="dxa" w:w="2160"/>
          </w:tcPr>
          <w:p>
            <w:r>
              <w:rPr>
                <w:rFonts w:ascii="Calibri" w:hAnsi="Calibri"/>
                <w:sz w:val="22"/>
              </w:rPr>
              <w:t>International Automotive Segment EBITDA</w:t>
            </w:r>
          </w:p>
        </w:tc>
        <w:tc>
          <w:tcPr>
            <w:tcW w:type="dxa" w:w="2160"/>
          </w:tcPr>
          <w:p>
            <w:r>
              <w:rPr>
                <w:rFonts w:ascii="Calibri" w:hAnsi="Calibri"/>
                <w:sz w:val="22"/>
              </w:rPr>
              <w:t>$560M–$600M (+4% to +10% YoY)</w:t>
            </w:r>
          </w:p>
        </w:tc>
        <w:tc>
          <w:tcPr>
            <w:tcW w:type="dxa" w:w="2160"/>
          </w:tcPr>
          <w:p>
            <w:r>
              <w:rPr>
                <w:rFonts w:ascii="Calibri" w:hAnsi="Calibri"/>
                <w:sz w:val="22"/>
              </w:rPr>
              <w:t>$560M–$600M (reaffirmed)</w:t>
            </w:r>
          </w:p>
        </w:tc>
        <w:tc>
          <w:tcPr>
            <w:tcW w:type="dxa" w:w="2160"/>
          </w:tcPr>
          <w:p>
            <w:r>
              <w:rPr>
                <w:rFonts w:ascii="Calibri" w:hAnsi="Calibri"/>
                <w:sz w:val="22"/>
              </w:rPr>
              <w:t>→ Unchanged</w:t>
            </w:r>
          </w:p>
        </w:tc>
      </w:tr>
      <w:tr>
        <w:tc>
          <w:tcPr>
            <w:tcW w:type="dxa" w:w="2160"/>
          </w:tcPr>
          <w:p>
            <w:r>
              <w:rPr>
                <w:rFonts w:ascii="Calibri" w:hAnsi="Calibri"/>
                <w:sz w:val="22"/>
              </w:rPr>
              <w:t>Industrial Segment EBITDA</w:t>
            </w:r>
          </w:p>
        </w:tc>
        <w:tc>
          <w:tcPr>
            <w:tcW w:type="dxa" w:w="2160"/>
          </w:tcPr>
          <w:p>
            <w:r>
              <w:rPr>
                <w:rFonts w:ascii="Calibri" w:hAnsi="Calibri"/>
                <w:sz w:val="22"/>
              </w:rPr>
              <w:t>$1.2B–$1.3B (+7% to +12% YoY)</w:t>
            </w:r>
          </w:p>
        </w:tc>
        <w:tc>
          <w:tcPr>
            <w:tcW w:type="dxa" w:w="2160"/>
          </w:tcPr>
          <w:p>
            <w:r>
              <w:rPr>
                <w:rFonts w:ascii="Calibri" w:hAnsi="Calibri"/>
                <w:sz w:val="22"/>
              </w:rPr>
              <w:t>$1.2B–$1.3B (reaffirmed)</w:t>
            </w:r>
          </w:p>
        </w:tc>
        <w:tc>
          <w:tcPr>
            <w:tcW w:type="dxa" w:w="2160"/>
          </w:tcPr>
          <w:p>
            <w:r>
              <w:rPr>
                <w:rFonts w:ascii="Calibri" w:hAnsi="Calibri"/>
                <w:sz w:val="22"/>
              </w:rPr>
              <w:t>→ Unchanged</w:t>
            </w:r>
          </w:p>
        </w:tc>
      </w:tr>
      <w:tr>
        <w:tc>
          <w:tcPr>
            <w:tcW w:type="dxa" w:w="2160"/>
          </w:tcPr>
          <w:p>
            <w:r>
              <w:rPr>
                <w:rFonts w:ascii="Calibri" w:hAnsi="Calibri"/>
                <w:sz w:val="22"/>
              </w:rPr>
              <w:t>Restructuring Savings (FY2026 benefit)</w:t>
            </w:r>
          </w:p>
        </w:tc>
        <w:tc>
          <w:tcPr>
            <w:tcW w:type="dxa" w:w="2160"/>
          </w:tcPr>
          <w:p>
            <w:r>
              <w:rPr>
                <w:rFonts w:ascii="Calibri" w:hAnsi="Calibri"/>
                <w:sz w:val="22"/>
              </w:rPr>
              <w:t>$100M–$125M benefit; $225M–$250M total expense</w:t>
            </w:r>
          </w:p>
        </w:tc>
        <w:tc>
          <w:tcPr>
            <w:tcW w:type="dxa" w:w="2160"/>
          </w:tcPr>
          <w:p>
            <w:r>
              <w:rPr>
                <w:rFonts w:ascii="Calibri" w:hAnsi="Calibri"/>
                <w:sz w:val="22"/>
              </w:rPr>
              <w:t>$100M–$125M benefit (reaffirmed)</w:t>
            </w:r>
          </w:p>
        </w:tc>
        <w:tc>
          <w:tcPr>
            <w:tcW w:type="dxa" w:w="2160"/>
          </w:tcPr>
          <w:p>
            <w:r>
              <w:rPr>
                <w:rFonts w:ascii="Calibri" w:hAnsi="Calibri"/>
                <w:sz w:val="22"/>
              </w:rPr>
              <w:t>→ Unchanged</w:t>
            </w:r>
          </w:p>
        </w:tc>
      </w:tr>
      <w:tr>
        <w:tc>
          <w:tcPr>
            <w:tcW w:type="dxa" w:w="2160"/>
          </w:tcPr>
          <w:p>
            <w:r>
              <w:rPr>
                <w:rFonts w:ascii="Calibri" w:hAnsi="Calibri"/>
                <w:sz w:val="22"/>
              </w:rPr>
              <w:t>Iran Conflict EBITDA Impact (Q2 2026)</w:t>
            </w:r>
          </w:p>
        </w:tc>
        <w:tc>
          <w:tcPr>
            <w:tcW w:type="dxa" w:w="2160"/>
          </w:tcPr>
          <w:p>
            <w:r>
              <w:rPr>
                <w:rFonts w:ascii="Calibri" w:hAnsi="Calibri"/>
                <w:sz w:val="22"/>
              </w:rPr>
              <w:t>Not quantified (risk not yet identified)</w:t>
            </w:r>
          </w:p>
        </w:tc>
        <w:tc>
          <w:tcPr>
            <w:tcW w:type="dxa" w:w="2160"/>
          </w:tcPr>
          <w:p>
            <w:r>
              <w:rPr>
                <w:rFonts w:ascii="Calibri" w:hAnsi="Calibri"/>
                <w:b/>
                <w:color w:val="002FA7"/>
                <w:sz w:val="22"/>
              </w:rPr>
              <w:t>$10M–$20M net EBITDA headwind, concentrated in Q2</w:t>
            </w:r>
          </w:p>
        </w:tc>
        <w:tc>
          <w:tcPr>
            <w:tcW w:type="dxa" w:w="2160"/>
          </w:tcPr>
          <w:p>
            <w:r>
              <w:rPr>
                <w:rFonts w:ascii="Calibri" w:hAnsi="Calibri"/>
                <w:b/>
                <w:color w:val="E5484D"/>
                <w:sz w:val="22"/>
              </w:rPr>
              <w:t>↓ New Risk</w:t>
            </w:r>
          </w:p>
        </w:tc>
      </w:tr>
      <w:tr>
        <w:tc>
          <w:tcPr>
            <w:tcW w:type="dxa" w:w="2160"/>
          </w:tcPr>
          <w:p>
            <w:r>
              <w:rPr>
                <w:rFonts w:ascii="Calibri" w:hAnsi="Calibri"/>
                <w:sz w:val="22"/>
              </w:rPr>
              <w:t>Separation Dis-synergy / Standalone Costs</w:t>
            </w:r>
          </w:p>
        </w:tc>
        <w:tc>
          <w:tcPr>
            <w:tcW w:type="dxa" w:w="2160"/>
          </w:tcPr>
          <w:p>
            <w:r>
              <w:rPr>
                <w:rFonts w:ascii="Calibri" w:hAnsi="Calibri"/>
                <w:sz w:val="22"/>
              </w:rPr>
              <w:t>Estimated; investor days planned H2 2026</w:t>
            </w:r>
          </w:p>
        </w:tc>
        <w:tc>
          <w:tcPr>
            <w:tcW w:type="dxa" w:w="2160"/>
          </w:tcPr>
          <w:p>
            <w:r>
              <w:rPr>
                <w:rFonts w:ascii="Calibri" w:hAnsi="Calibri"/>
                <w:sz w:val="22"/>
              </w:rPr>
              <w:t>$100M–$150M confirmed; on track for Q1 2027 separation</w:t>
            </w:r>
          </w:p>
        </w:tc>
        <w:tc>
          <w:tcPr>
            <w:tcW w:type="dxa" w:w="2160"/>
          </w:tcPr>
          <w:p>
            <w:r>
              <w:rPr>
                <w:rFonts w:ascii="Calibri" w:hAnsi="Calibri"/>
                <w:sz w:val="22"/>
              </w:rPr>
              <w:t>→ Confirmed / On Track</w:t>
            </w:r>
          </w:p>
        </w:tc>
      </w:tr>
      <w:tr>
        <w:tc>
          <w:tcPr>
            <w:tcW w:type="dxa" w:w="2160"/>
          </w:tcPr>
          <w:p>
            <w:r>
              <w:rPr>
                <w:rFonts w:ascii="Calibri" w:hAnsi="Calibri"/>
                <w:sz w:val="22"/>
              </w:rPr>
              <w:t>Depreciation &amp; Interest Expense Headwind</w:t>
            </w:r>
          </w:p>
        </w:tc>
        <w:tc>
          <w:tcPr>
            <w:tcW w:type="dxa" w:w="2160"/>
          </w:tcPr>
          <w:p>
            <w:r>
              <w:rPr>
                <w:rFonts w:ascii="Calibri" w:hAnsi="Calibri"/>
                <w:sz w:val="22"/>
              </w:rPr>
              <w:t>~$0.30 EPS headwind for FY2026</w:t>
            </w:r>
          </w:p>
        </w:tc>
        <w:tc>
          <w:tcPr>
            <w:tcW w:type="dxa" w:w="2160"/>
          </w:tcPr>
          <w:p>
            <w:r>
              <w:rPr>
                <w:rFonts w:ascii="Calibri" w:hAnsi="Calibri"/>
                <w:sz w:val="22"/>
              </w:rPr>
              <w:t>~$0.30 EPS headwind (reaffirmed)</w:t>
            </w:r>
          </w:p>
        </w:tc>
        <w:tc>
          <w:tcPr>
            <w:tcW w:type="dxa" w:w="2160"/>
          </w:tcPr>
          <w:p>
            <w:r>
              <w:rPr>
                <w:rFonts w:ascii="Calibri" w:hAnsi="Calibri"/>
                <w:sz w:val="22"/>
              </w:rPr>
              <w:t>→ Unchanged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Consensus estimates have been essentially flat over the last 30 days, suggesting the Street has fully absorbed the Iran conflict headwind and is not pre-positioning for a miss; the FY2026 adjusted EPS consensus of ~$7.73 sits just above the guidance midpoint of $7.75, implying the market believes GPC can deliver at or slightly above the midpoint of its own range.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FY2026 Guidance Range</w:t>
            </w:r>
          </w:p>
        </w:tc>
        <w:tc>
          <w:tcPr>
            <w:tcW w:type="dxa" w:w="1440"/>
            <w:shd w:val="clear" w:color="auto" w:fill="3B4259"/>
          </w:tcPr>
          <w:p>
            <w:r>
              <w:rPr>
                <w:rFonts w:ascii="Calibri" w:hAnsi="Calibri"/>
                <w:b/>
                <w:color w:val="FFFFFF"/>
                <w:sz w:val="22"/>
              </w:rPr>
              <w:t>Guidance Midpoint</w:t>
            </w:r>
          </w:p>
        </w:tc>
        <w:tc>
          <w:tcPr>
            <w:tcW w:type="dxa" w:w="1440"/>
            <w:shd w:val="clear" w:color="auto" w:fill="3B4259"/>
          </w:tcPr>
          <w:p>
            <w:r>
              <w:rPr>
                <w:rFonts w:ascii="Calibri" w:hAnsi="Calibri"/>
                <w:b/>
                <w:color w:val="FFFFFF"/>
                <w:sz w:val="22"/>
              </w:rPr>
              <w:t>Current Consensus (FY2026)</w:t>
            </w:r>
          </w:p>
        </w:tc>
        <w:tc>
          <w:tcPr>
            <w:tcW w:type="dxa" w:w="1440"/>
            <w:shd w:val="clear" w:color="auto" w:fill="3B4259"/>
          </w:tcPr>
          <w:p>
            <w:r>
              <w:rPr>
                <w:rFonts w:ascii="Calibri" w:hAnsi="Calibri"/>
                <w:b/>
                <w:color w:val="FFFFFF"/>
                <w:sz w:val="22"/>
              </w:rPr>
              <w:t>Cons. vs. Midpoint</w:t>
            </w:r>
          </w:p>
        </w:tc>
        <w:tc>
          <w:tcPr>
            <w:tcW w:type="dxa" w:w="1440"/>
            <w:shd w:val="clear" w:color="auto" w:fill="3B4259"/>
          </w:tcPr>
          <w:p>
            <w:r>
              <w:rPr>
                <w:rFonts w:ascii="Calibri" w:hAnsi="Calibri"/>
                <w:b/>
                <w:color w:val="FFFFFF"/>
                <w:sz w:val="22"/>
              </w:rPr>
              <w:t>30-Day Revision Trend</w:t>
            </w:r>
          </w:p>
        </w:tc>
      </w:tr>
      <w:tr>
        <w:tc>
          <w:tcPr>
            <w:tcW w:type="dxa" w:w="1440"/>
          </w:tcPr>
          <w:p>
            <w:r>
              <w:rPr>
                <w:rFonts w:ascii="Calibri" w:hAnsi="Calibri"/>
                <w:sz w:val="22"/>
              </w:rPr>
              <w:t>Total Revenue</w:t>
            </w:r>
          </w:p>
        </w:tc>
        <w:tc>
          <w:tcPr>
            <w:tcW w:type="dxa" w:w="1440"/>
          </w:tcPr>
          <w:p>
            <w:r>
              <w:rPr>
                <w:rFonts w:ascii="Calibri" w:hAnsi="Calibri"/>
                <w:sz w:val="22"/>
              </w:rPr>
              <w:t>+3% to +5.5% growth</w:t>
            </w:r>
          </w:p>
        </w:tc>
        <w:tc>
          <w:tcPr>
            <w:tcW w:type="dxa" w:w="1440"/>
          </w:tcPr>
          <w:p>
            <w:r>
              <w:rPr>
                <w:rFonts w:ascii="Calibri" w:hAnsi="Calibri"/>
                <w:sz w:val="22"/>
              </w:rPr>
              <w:t>+4.25% (~$25.5B)</w:t>
            </w:r>
          </w:p>
        </w:tc>
        <w:tc>
          <w:tcPr>
            <w:tcW w:type="dxa" w:w="1440"/>
          </w:tcPr>
          <w:p>
            <w:r>
              <w:rPr>
                <w:rFonts w:ascii="Calibri" w:hAnsi="Calibri"/>
                <w:sz w:val="22"/>
              </w:rPr>
              <w:t>$25.46B</w:t>
            </w:r>
          </w:p>
        </w:tc>
        <w:tc>
          <w:tcPr>
            <w:tcW w:type="dxa" w:w="1440"/>
          </w:tcPr>
          <w:p>
            <w:r>
              <w:rPr>
                <w:rFonts w:ascii="Calibri" w:hAnsi="Calibri"/>
                <w:sz w:val="22"/>
              </w:rPr>
              <w:t>~Flat / -0.2%</w:t>
            </w:r>
          </w:p>
        </w:tc>
        <w:tc>
          <w:tcPr>
            <w:tcW w:type="dxa" w:w="1440"/>
          </w:tcPr>
          <w:p>
            <w:r>
              <w:rPr>
                <w:rFonts w:ascii="Calibri" w:hAnsi="Calibri"/>
                <w:sz w:val="22"/>
              </w:rPr>
              <w:t>→ Stable</w:t>
            </w:r>
          </w:p>
        </w:tc>
      </w:tr>
      <w:tr>
        <w:tc>
          <w:tcPr>
            <w:tcW w:type="dxa" w:w="1440"/>
          </w:tcPr>
          <w:p>
            <w:r>
              <w:rPr>
                <w:rFonts w:ascii="Calibri" w:hAnsi="Calibri"/>
                <w:sz w:val="22"/>
              </w:rPr>
              <w:t>Adjusted Diluted EPS</w:t>
            </w:r>
          </w:p>
        </w:tc>
        <w:tc>
          <w:tcPr>
            <w:tcW w:type="dxa" w:w="1440"/>
          </w:tcPr>
          <w:p>
            <w:r>
              <w:rPr>
                <w:rFonts w:ascii="Calibri" w:hAnsi="Calibri"/>
                <w:sz w:val="22"/>
              </w:rPr>
              <w:t>$7.50–$8.00</w:t>
            </w:r>
          </w:p>
        </w:tc>
        <w:tc>
          <w:tcPr>
            <w:tcW w:type="dxa" w:w="1440"/>
          </w:tcPr>
          <w:p>
            <w:r>
              <w:rPr>
                <w:rFonts w:ascii="Calibri" w:hAnsi="Calibri"/>
                <w:sz w:val="22"/>
              </w:rPr>
              <w:t>$7.75</w:t>
            </w:r>
          </w:p>
        </w:tc>
        <w:tc>
          <w:tcPr>
            <w:tcW w:type="dxa" w:w="1440"/>
          </w:tcPr>
          <w:p>
            <w:r>
              <w:rPr>
                <w:rFonts w:ascii="Calibri" w:hAnsi="Calibri"/>
                <w:sz w:val="22"/>
              </w:rPr>
              <w:t>$7.73</w:t>
            </w:r>
          </w:p>
        </w:tc>
        <w:tc>
          <w:tcPr>
            <w:tcW w:type="dxa" w:w="1440"/>
          </w:tcPr>
          <w:p>
            <w:r>
              <w:rPr>
                <w:rFonts w:ascii="Calibri" w:hAnsi="Calibri"/>
                <w:sz w:val="22"/>
              </w:rPr>
              <w:t>-0.3% below midpoint</w:t>
            </w:r>
          </w:p>
        </w:tc>
        <w:tc>
          <w:tcPr>
            <w:tcW w:type="dxa" w:w="1440"/>
          </w:tcPr>
          <w:p>
            <w:r>
              <w:rPr>
                <w:rFonts w:ascii="Calibri" w:hAnsi="Calibri"/>
                <w:sz w:val="22"/>
              </w:rPr>
              <w:t>→ Unchanged (30 days)</w:t>
            </w:r>
          </w:p>
        </w:tc>
      </w:tr>
      <w:tr>
        <w:tc>
          <w:tcPr>
            <w:tcW w:type="dxa" w:w="1440"/>
          </w:tcPr>
          <w:p>
            <w:r>
              <w:rPr>
                <w:rFonts w:ascii="Calibri" w:hAnsi="Calibri"/>
                <w:sz w:val="22"/>
              </w:rPr>
              <w:t>Comparable Sales Growth — Total</w:t>
            </w:r>
          </w:p>
        </w:tc>
        <w:tc>
          <w:tcPr>
            <w:tcW w:type="dxa" w:w="1440"/>
          </w:tcPr>
          <w:p>
            <w:r>
              <w:rPr>
                <w:rFonts w:ascii="Calibri" w:hAnsi="Calibri"/>
                <w:sz w:val="22"/>
              </w:rPr>
              <w:t>Flat market + ~2% pricing</w:t>
            </w:r>
          </w:p>
        </w:tc>
        <w:tc>
          <w:tcPr>
            <w:tcW w:type="dxa" w:w="1440"/>
          </w:tcPr>
          <w:p>
            <w:r>
              <w:rPr>
                <w:rFonts w:ascii="Calibri" w:hAnsi="Calibri"/>
                <w:sz w:val="22"/>
              </w:rPr>
              <w:t>~2.0%–2.5%</w:t>
            </w:r>
          </w:p>
        </w:tc>
        <w:tc>
          <w:tcPr>
            <w:tcW w:type="dxa" w:w="1440"/>
          </w:tcPr>
          <w:p>
            <w:r>
              <w:rPr>
                <w:rFonts w:ascii="Calibri" w:hAnsi="Calibri"/>
                <w:sz w:val="22"/>
              </w:rPr>
              <w:t>+2.94% (FY2026 cons.)</w:t>
            </w:r>
          </w:p>
        </w:tc>
        <w:tc>
          <w:tcPr>
            <w:tcW w:type="dxa" w:w="1440"/>
          </w:tcPr>
          <w:p>
            <w:r>
              <w:rPr>
                <w:rFonts w:ascii="Calibri" w:hAnsi="Calibri"/>
                <w:sz w:val="22"/>
              </w:rPr>
              <w:t>~At/above midpoint</w:t>
            </w:r>
          </w:p>
        </w:tc>
        <w:tc>
          <w:tcPr>
            <w:tcW w:type="dxa" w:w="1440"/>
          </w:tcPr>
          <w:p>
            <w:r>
              <w:rPr>
                <w:rFonts w:ascii="Calibri" w:hAnsi="Calibri"/>
                <w:sz w:val="22"/>
              </w:rPr>
              <w:t>→ Stable</w:t>
            </w:r>
          </w:p>
        </w:tc>
      </w:tr>
      <w:tr>
        <w:tc>
          <w:tcPr>
            <w:tcW w:type="dxa" w:w="1440"/>
          </w:tcPr>
          <w:p>
            <w:r>
              <w:rPr>
                <w:rFonts w:ascii="Calibri" w:hAnsi="Calibri"/>
                <w:sz w:val="22"/>
              </w:rPr>
              <w:t>Adj. EBITDA Margin (Operating)</w:t>
            </w:r>
          </w:p>
        </w:tc>
        <w:tc>
          <w:tcPr>
            <w:tcW w:type="dxa" w:w="1440"/>
          </w:tcPr>
          <w:p>
            <w:r>
              <w:rPr>
                <w:rFonts w:ascii="Calibri" w:hAnsi="Calibri"/>
                <w:sz w:val="22"/>
              </w:rPr>
              <w:t>N/A — segment-level only</w:t>
            </w:r>
          </w:p>
        </w:tc>
        <w:tc>
          <w:tcPr>
            <w:tcW w:type="dxa" w:w="1440"/>
          </w:tcPr>
          <w:p>
            <w:r>
              <w:rPr>
                <w:rFonts w:ascii="Calibri" w:hAnsi="Calibri"/>
                <w:sz w:val="22"/>
              </w:rPr>
              <w:t>N/A</w:t>
            </w:r>
          </w:p>
        </w:tc>
        <w:tc>
          <w:tcPr>
            <w:tcW w:type="dxa" w:w="1440"/>
          </w:tcPr>
          <w:p>
            <w:r>
              <w:rPr>
                <w:rFonts w:ascii="Calibri" w:hAnsi="Calibri"/>
                <w:sz w:val="22"/>
              </w:rPr>
              <w:t>8.35% (FY2026 cons.)</w:t>
            </w:r>
          </w:p>
        </w:tc>
        <w:tc>
          <w:tcPr>
            <w:tcW w:type="dxa" w:w="1440"/>
          </w:tcPr>
          <w:p>
            <w:r>
              <w:rPr>
                <w:rFonts w:ascii="Calibri" w:hAnsi="Calibri"/>
                <w:sz w:val="22"/>
              </w:rPr>
              <w:t>N/A</w:t>
            </w:r>
          </w:p>
        </w:tc>
        <w:tc>
          <w:tcPr>
            <w:tcW w:type="dxa" w:w="1440"/>
          </w:tcPr>
          <w:p>
            <w:r>
              <w:rPr>
                <w:rFonts w:ascii="Calibri" w:hAnsi="Calibri"/>
                <w:sz w:val="22"/>
              </w:rPr>
              <w:t>→ Stable</w:t>
            </w:r>
          </w:p>
        </w:tc>
      </w:tr>
      <w:tr>
        <w:tc>
          <w:tcPr>
            <w:tcW w:type="dxa" w:w="1440"/>
          </w:tcPr>
          <w:p>
            <w:r>
              <w:rPr>
                <w:rFonts w:ascii="Calibri" w:hAnsi="Calibri"/>
                <w:sz w:val="22"/>
              </w:rPr>
              <w:t>Q2 2026 Adj. EPS</w:t>
            </w:r>
          </w:p>
        </w:tc>
        <w:tc>
          <w:tcPr>
            <w:tcW w:type="dxa" w:w="1440"/>
          </w:tcPr>
          <w:p>
            <w:r>
              <w:rPr>
                <w:rFonts w:ascii="Calibri" w:hAnsi="Calibri"/>
                <w:sz w:val="22"/>
              </w:rPr>
              <w:t>Implied ~$2.07–$2.10</w:t>
            </w:r>
          </w:p>
        </w:tc>
        <w:tc>
          <w:tcPr>
            <w:tcW w:type="dxa" w:w="1440"/>
          </w:tcPr>
          <w:p>
            <w:r>
              <w:rPr>
                <w:rFonts w:ascii="Calibri" w:hAnsi="Calibri"/>
                <w:sz w:val="22"/>
              </w:rPr>
              <w:t>~$2.09</w:t>
            </w:r>
          </w:p>
        </w:tc>
        <w:tc>
          <w:tcPr>
            <w:tcW w:type="dxa" w:w="1440"/>
          </w:tcPr>
          <w:p>
            <w:r>
              <w:rPr>
                <w:rFonts w:ascii="Calibri" w:hAnsi="Calibri"/>
                <w:sz w:val="22"/>
              </w:rPr>
              <w:t>$2.07</w:t>
            </w:r>
          </w:p>
        </w:tc>
        <w:tc>
          <w:tcPr>
            <w:tcW w:type="dxa" w:w="1440"/>
          </w:tcPr>
          <w:p>
            <w:r>
              <w:rPr>
                <w:rFonts w:ascii="Calibri" w:hAnsi="Calibri"/>
                <w:sz w:val="22"/>
              </w:rPr>
              <w:t>-1.0% below midpoint</w:t>
            </w:r>
          </w:p>
        </w:tc>
        <w:tc>
          <w:tcPr>
            <w:tcW w:type="dxa" w:w="1440"/>
          </w:tcPr>
          <w:p>
            <w:r>
              <w:rPr>
                <w:rFonts w:ascii="Calibri" w:hAnsi="Calibri"/>
                <w:sz w:val="22"/>
              </w:rPr>
              <w:t>→ Unchanged (30 days)</w:t>
            </w:r>
          </w:p>
        </w:tc>
      </w:tr>
    </w:tbl>
    <w:p>
      <w:r>
        <w:rPr>
          <w:rFonts w:ascii="Calibri" w:hAnsi="Calibri"/>
          <w:i/>
          <w:color w:val="525866"/>
          <w:sz w:val="22"/>
        </w:rPr>
        <w:t>Source: Visible Alpha Consensus and Actuals Data; GPC Q1 2026 and Q4 2025 Earnings Call Transcripts.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GPC has outperformed both the S&amp;P 500 and the Consumer Discretionary ETF (XLY) since Q1 2026 earnings, but the outperformance is almost entirely attributable to the July 2 O'Reilly bid report spike (+12% in a single day); stripping that out, the stock was actually underperforming the market heading into the bid news, suggesting the operating business alone was not generating investor enthusiasm.</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GPC vs. XLY vs. S&amp;P 500 — Indexed to 100 at Q1 2026 Earnings (Apr 21, 2026). Source: Stock Price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Notes</w:t>
            </w:r>
          </w:p>
        </w:tc>
      </w:tr>
      <w:tr>
        <w:tc>
          <w:tcPr>
            <w:tcW w:type="dxa" w:w="2880"/>
          </w:tcPr>
          <w:p>
            <w:r>
              <w:rPr>
                <w:rFonts w:ascii="Calibri" w:hAnsi="Calibri"/>
                <w:sz w:val="22"/>
              </w:rPr>
              <w:t>GPC Price at Q1 Earnings (Apr 21)</w:t>
            </w:r>
          </w:p>
        </w:tc>
        <w:tc>
          <w:tcPr>
            <w:tcW w:type="dxa" w:w="2880"/>
          </w:tcPr>
          <w:p>
            <w:r>
              <w:rPr>
                <w:rFonts w:ascii="Calibri" w:hAnsi="Calibri"/>
                <w:sz w:val="22"/>
              </w:rPr>
              <w:t>$115.00</w:t>
            </w:r>
          </w:p>
        </w:tc>
        <w:tc>
          <w:tcPr>
            <w:tcW w:type="dxa" w:w="2880"/>
          </w:tcPr>
          <w:p>
            <w:r>
              <w:rPr>
                <w:rFonts w:ascii="Calibri" w:hAnsi="Calibri"/>
                <w:sz w:val="22"/>
              </w:rPr>
              <w:t>Base for indexed performance</w:t>
            </w:r>
          </w:p>
        </w:tc>
      </w:tr>
      <w:tr>
        <w:tc>
          <w:tcPr>
            <w:tcW w:type="dxa" w:w="2880"/>
          </w:tcPr>
          <w:p>
            <w:r>
              <w:rPr>
                <w:rFonts w:ascii="Calibri" w:hAnsi="Calibri"/>
                <w:sz w:val="22"/>
              </w:rPr>
              <w:t>GPC Price (Jul 20, 2026)</w:t>
            </w:r>
          </w:p>
        </w:tc>
        <w:tc>
          <w:tcPr>
            <w:tcW w:type="dxa" w:w="2880"/>
          </w:tcPr>
          <w:p>
            <w:r>
              <w:rPr>
                <w:rFonts w:ascii="Calibri" w:hAnsi="Calibri"/>
                <w:sz w:val="22"/>
              </w:rPr>
              <w:t>$122.40</w:t>
            </w:r>
          </w:p>
        </w:tc>
        <w:tc>
          <w:tcPr>
            <w:tcW w:type="dxa" w:w="2880"/>
          </w:tcPr>
          <w:p>
            <w:r>
              <w:rPr>
                <w:rFonts w:ascii="Calibri" w:hAnsi="Calibri"/>
                <w:sz w:val="22"/>
              </w:rPr>
              <w:t>Last close before Q2 earnings</w:t>
            </w:r>
          </w:p>
        </w:tc>
      </w:tr>
      <w:tr>
        <w:tc>
          <w:tcPr>
            <w:tcW w:type="dxa" w:w="2880"/>
          </w:tcPr>
          <w:p>
            <w:r>
              <w:rPr>
                <w:rFonts w:ascii="Calibri" w:hAnsi="Calibri"/>
                <w:sz w:val="22"/>
              </w:rPr>
              <w:t>GPC Return Since Q1 Earnings</w:t>
            </w:r>
          </w:p>
        </w:tc>
        <w:tc>
          <w:tcPr>
            <w:tcW w:type="dxa" w:w="2880"/>
          </w:tcPr>
          <w:p>
            <w:r>
              <w:rPr>
                <w:rFonts w:ascii="Calibri" w:hAnsi="Calibri"/>
                <w:sz w:val="22"/>
              </w:rPr>
              <w:t>+6.4%</w:t>
            </w:r>
          </w:p>
        </w:tc>
        <w:tc>
          <w:tcPr>
            <w:tcW w:type="dxa" w:w="2880"/>
          </w:tcPr>
          <w:p>
            <w:r>
              <w:rPr>
                <w:rFonts w:ascii="Calibri" w:hAnsi="Calibri"/>
                <w:sz w:val="22"/>
              </w:rPr>
              <w:t>Includes July 2 O'Reilly bid spike</w:t>
            </w:r>
          </w:p>
        </w:tc>
      </w:tr>
      <w:tr>
        <w:tc>
          <w:tcPr>
            <w:tcW w:type="dxa" w:w="2880"/>
          </w:tcPr>
          <w:p>
            <w:r>
              <w:rPr>
                <w:rFonts w:ascii="Calibri" w:hAnsi="Calibri"/>
                <w:sz w:val="22"/>
              </w:rPr>
              <w:t>SPY Return Since Q1 Earnings</w:t>
            </w:r>
          </w:p>
        </w:tc>
        <w:tc>
          <w:tcPr>
            <w:tcW w:type="dxa" w:w="2880"/>
          </w:tcPr>
          <w:p>
            <w:r>
              <w:rPr>
                <w:rFonts w:ascii="Calibri" w:hAnsi="Calibri"/>
                <w:sz w:val="22"/>
              </w:rPr>
              <w:t>+5.4%</w:t>
            </w:r>
          </w:p>
        </w:tc>
        <w:tc>
          <w:tcPr>
            <w:tcW w:type="dxa" w:w="2880"/>
          </w:tcPr>
          <w:p>
            <w:r>
              <w:rPr>
                <w:rFonts w:ascii="Calibri" w:hAnsi="Calibri"/>
                <w:sz w:val="22"/>
              </w:rPr>
              <w:t>S&amp;P 500 benchmark</w:t>
            </w:r>
          </w:p>
        </w:tc>
      </w:tr>
      <w:tr>
        <w:tc>
          <w:tcPr>
            <w:tcW w:type="dxa" w:w="2880"/>
          </w:tcPr>
          <w:p>
            <w:r>
              <w:rPr>
                <w:rFonts w:ascii="Calibri" w:hAnsi="Calibri"/>
                <w:sz w:val="22"/>
              </w:rPr>
              <w:t>XLY Return Since Q1 Earnings</w:t>
            </w:r>
          </w:p>
        </w:tc>
        <w:tc>
          <w:tcPr>
            <w:tcW w:type="dxa" w:w="2880"/>
          </w:tcPr>
          <w:p>
            <w:r>
              <w:rPr>
                <w:rFonts w:ascii="Calibri" w:hAnsi="Calibri"/>
                <w:sz w:val="22"/>
              </w:rPr>
              <w:t>-3.7%</w:t>
            </w:r>
          </w:p>
        </w:tc>
        <w:tc>
          <w:tcPr>
            <w:tcW w:type="dxa" w:w="2880"/>
          </w:tcPr>
          <w:p>
            <w:r>
              <w:rPr>
                <w:rFonts w:ascii="Calibri" w:hAnsi="Calibri"/>
                <w:sz w:val="22"/>
              </w:rPr>
              <w:t>Consumer Discretionary ETF — significant underperformance</w:t>
            </w:r>
          </w:p>
        </w:tc>
      </w:tr>
      <w:tr>
        <w:tc>
          <w:tcPr>
            <w:tcW w:type="dxa" w:w="2880"/>
          </w:tcPr>
          <w:p>
            <w:r>
              <w:rPr>
                <w:rFonts w:ascii="Calibri" w:hAnsi="Calibri"/>
                <w:sz w:val="22"/>
              </w:rPr>
              <w:t>GPC 52-Week Low / High</w:t>
            </w:r>
          </w:p>
        </w:tc>
        <w:tc>
          <w:tcPr>
            <w:tcW w:type="dxa" w:w="2880"/>
          </w:tcPr>
          <w:p>
            <w:r>
              <w:rPr>
                <w:rFonts w:ascii="Calibri" w:hAnsi="Calibri"/>
                <w:sz w:val="22"/>
              </w:rPr>
              <w:t>~$92.47 / ~$132.57</w:t>
            </w:r>
          </w:p>
        </w:tc>
        <w:tc>
          <w:tcPr>
            <w:tcW w:type="dxa" w:w="2880"/>
          </w:tcPr>
          <w:p>
            <w:r>
              <w:rPr>
                <w:rFonts w:ascii="Calibri" w:hAnsi="Calibri"/>
                <w:sz w:val="22"/>
              </w:rPr>
              <w:t>Low: May 19, 2026; High: July 2, 2026 (bid report day)</w:t>
            </w:r>
          </w:p>
        </w:tc>
      </w:tr>
      <w:tr>
        <w:tc>
          <w:tcPr>
            <w:tcW w:type="dxa" w:w="2880"/>
          </w:tcPr>
          <w:p>
            <w:r>
              <w:rPr>
                <w:rFonts w:ascii="Calibri" w:hAnsi="Calibri"/>
                <w:sz w:val="22"/>
              </w:rPr>
              <w:t>Key Event: O'Reilly Bid Report</w:t>
            </w:r>
          </w:p>
        </w:tc>
        <w:tc>
          <w:tcPr>
            <w:tcW w:type="dxa" w:w="2880"/>
          </w:tcPr>
          <w:p>
            <w:r>
              <w:rPr>
                <w:rFonts w:ascii="Calibri" w:hAnsi="Calibri"/>
                <w:sz w:val="22"/>
              </w:rPr>
              <w:t>Jul 2, 2026: +12.1% single day</w:t>
            </w:r>
          </w:p>
        </w:tc>
        <w:tc>
          <w:tcPr>
            <w:tcW w:type="dxa" w:w="2880"/>
          </w:tcPr>
          <w:p>
            <w:r>
              <w:rPr>
                <w:rFonts w:ascii="Calibri" w:hAnsi="Calibri"/>
                <w:sz w:val="22"/>
              </w:rPr>
              <w:t>Report of cash bid for GPC's auto parts division; stock partially faded since</w:t>
            </w:r>
          </w:p>
        </w:tc>
      </w:tr>
      <w:tr>
        <w:tc>
          <w:tcPr>
            <w:tcW w:type="dxa" w:w="2880"/>
          </w:tcPr>
          <w:p>
            <w:r>
              <w:rPr>
                <w:rFonts w:ascii="Calibri" w:hAnsi="Calibri"/>
                <w:sz w:val="22"/>
              </w:rPr>
              <w:t>Market Cap (approx.)</w:t>
            </w:r>
          </w:p>
        </w:tc>
        <w:tc>
          <w:tcPr>
            <w:tcW w:type="dxa" w:w="2880"/>
          </w:tcPr>
          <w:p>
            <w:r>
              <w:rPr>
                <w:rFonts w:ascii="Calibri" w:hAnsi="Calibri"/>
                <w:sz w:val="22"/>
              </w:rPr>
              <w:t>~$17.2B</w:t>
            </w:r>
          </w:p>
        </w:tc>
        <w:tc>
          <w:tcPr>
            <w:tcW w:type="dxa" w:w="2880"/>
          </w:tcPr>
          <w:p>
            <w:r>
              <w:rPr>
                <w:rFonts w:ascii="Calibri" w:hAnsi="Calibri"/>
                <w:sz w:val="22"/>
              </w:rPr>
              <w:t>As of July 20, 2026</w:t>
            </w:r>
          </w:p>
        </w:tc>
      </w:tr>
    </w:tbl>
    <w:p>
      <w:r>
        <w:rPr>
          <w:rFonts w:ascii="Calibri" w:hAnsi="Calibri"/>
          <w:i/>
          <w:color w:val="525866"/>
          <w:sz w:val="22"/>
        </w:rPr>
        <w:t>Source: Stock Price Data. Note: GPC traded as low as $92.47 on May 19, 2026 before recovering sharply. The stock's trough-to-current recovery of ~32% reflects both improving operating momentum and the strategic optionality premium from the reported O'Reilly bid.</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b/>
          <w:color w:val="525866"/>
          <w:sz w:val="22"/>
        </w:rPr>
        <w:t>Peer commentary from Q2 2026 reporters (FAST, AAP) and Q1 2026 reporters commenting on Q2 trends (AZO, GWW, DORM) paints a constructive but nuanced picture — automotive aftermarket demand is recovering with comps accelerating into positive territory, industrial MRO demand is inflecting positively with PMI above 50, and tariff/pricing pass-through is manageable; the key risk flagged across peers is consumer pressure from elevated gas prices and stretched household budgets, which could weigh on DIY automotive demand in Q2.</w:t>
      </w:r>
    </w:p>
    <w:p>
      <w:r>
        <w:rPr>
          <w:rFonts w:ascii="Calibri" w:hAnsi="Calibri"/>
          <w:i/>
          <w:color w:val="525866"/>
          <w:sz w:val="22"/>
        </w:rPr>
        <w:t>Note: Only commentary about Q2 2026 trends or forward-looking statements made after Q1 2026 earnings are included below. Prior-quarter results commentary has been excluded.</w:t>
      </w:r>
    </w:p>
    <w:p>
      <w:pPr>
        <w:pStyle w:val="Heading3"/>
      </w:pPr>
      <w:r>
        <w:rPr>
          <w:rFonts w:ascii="Calibri" w:hAnsi="Calibri"/>
          <w:b/>
          <w:color w:val="3B4259"/>
          <w:sz w:val="24"/>
        </w:rPr>
        <w:t>Fastenal (FAST) — Q2 2026 Earnings Call (July 14, 2026) — Industrial MRO Read-Through</w:t>
      </w:r>
    </w:p>
    <w:p>
      <w:r>
        <w:rPr>
          <w:rFonts w:ascii="Calibri" w:hAnsi="Calibri"/>
          <w:b/>
          <w:color w:val="525866"/>
          <w:sz w:val="22"/>
        </w:rPr>
        <w:t xml:space="preserve">Relevance: </w:t>
      </w:r>
      <w:r>
        <w:rPr>
          <w:rFonts w:ascii="Calibri" w:hAnsi="Calibri"/>
          <w:color w:val="525866"/>
          <w:sz w:val="22"/>
        </w:rPr>
        <w:t>FAST is GPC's closest industrial MRO peer (Motion Industries competes directly). FAST reported Q2 2026 results on July 14 — the most timely and direct read-through for GPC's Industrial segment heading into tomorrow's print.</w:t>
      </w:r>
    </w:p>
    <w:p>
      <w:pPr>
        <w:pStyle w:val="ListBullet"/>
        <w:ind w:left="360" w:hanging="360"/>
      </w:pPr>
      <w:r>
        <w:rPr>
          <w:rFonts w:ascii="Calibri" w:hAnsi="Calibri"/>
          <w:b/>
          <w:color w:val="525866"/>
          <w:sz w:val="22"/>
        </w:rPr>
        <w:t xml:space="preserve">Industrial demand inflecting positively: </w:t>
      </w:r>
      <w:r>
        <w:rPr>
          <w:rFonts w:ascii="Calibri" w:hAnsi="Calibri"/>
          <w:color w:val="525866"/>
          <w:sz w:val="22"/>
        </w:rPr>
        <w:t>FAST reported mid-single-digit average daily sales growth across all three months of Q2 2026, with the industrial end market showing broad-based improvement. This is consistent with GPC's own Q1 commentary that PMI had been above 50 for three consecutive months and supports the consensus view of ~4.4% Industrial comp growth for GPC in Q2.</w:t>
      </w:r>
    </w:p>
    <w:p>
      <w:pPr>
        <w:pStyle w:val="ListBullet"/>
        <w:ind w:left="360" w:hanging="360"/>
      </w:pPr>
      <w:r>
        <w:rPr>
          <w:rFonts w:ascii="Calibri" w:hAnsi="Calibri"/>
          <w:b/>
          <w:color w:val="525866"/>
          <w:sz w:val="22"/>
        </w:rPr>
        <w:t xml:space="preserve">Pricing/tariff pass-through manageable: </w:t>
      </w:r>
      <w:r>
        <w:rPr>
          <w:rFonts w:ascii="Calibri" w:hAnsi="Calibri"/>
          <w:color w:val="525866"/>
          <w:sz w:val="22"/>
        </w:rPr>
        <w:t>FAST noted that tariff-related price increases are being passed through to customers in a manner resembling routine annual price negotiations rather than emergency tariff-specific demands — directly echoing GPC management's Q1 language about the tariff environment having 'normalized.' Pricing benefit of approximately 3% was cited for the industrial segment.</w:t>
      </w:r>
    </w:p>
    <w:p>
      <w:pPr>
        <w:pStyle w:val="ListBullet"/>
        <w:ind w:left="360" w:hanging="360"/>
      </w:pPr>
      <w:r>
        <w:rPr>
          <w:rFonts w:ascii="Calibri" w:hAnsi="Calibri"/>
          <w:b/>
          <w:color w:val="525866"/>
          <w:sz w:val="22"/>
        </w:rPr>
        <w:t xml:space="preserve">No demand destruction from tariffs: </w:t>
      </w:r>
      <w:r>
        <w:rPr>
          <w:rFonts w:ascii="Calibri" w:hAnsi="Calibri"/>
          <w:color w:val="525866"/>
          <w:sz w:val="22"/>
        </w:rPr>
        <w:t>FAST explicitly noted they have not seen customers stop projects or engage in significant inventory buying ahead due to tariff uncertainty in the U.S. This is a positive read-through for GPC's Industrial segment, suggesting the demand environment is genuine rather than pull-forward.</w:t>
      </w:r>
    </w:p>
    <w:p>
      <w:pPr>
        <w:pStyle w:val="ListBullet"/>
        <w:ind w:left="360" w:hanging="360"/>
      </w:pPr>
      <w:r>
        <w:rPr>
          <w:rFonts w:ascii="Calibri" w:hAnsi="Calibri"/>
          <w:b/>
          <w:color w:val="525866"/>
          <w:sz w:val="22"/>
        </w:rPr>
        <w:t xml:space="preserve">Margin dynamics: </w:t>
      </w:r>
      <w:r>
        <w:rPr>
          <w:rFonts w:ascii="Calibri" w:hAnsi="Calibri"/>
          <w:color w:val="525866"/>
          <w:sz w:val="22"/>
        </w:rPr>
        <w:t>FAST flagged elevated fuel costs as a modest margin headwind in Q2, with some leakage because large customers don't fully pay for parcel shipping. GPC's Industrial segment (Motion Industries) has similar logistics exposure; this could be a modest headwind to Industrial EBITDA margin vs. the 13.4% consensus estimate.</w:t>
      </w:r>
    </w:p>
    <w:p>
      <w:pPr>
        <w:pStyle w:val="Heading3"/>
      </w:pPr>
      <w:r>
        <w:rPr>
          <w:rFonts w:ascii="Calibri" w:hAnsi="Calibri"/>
          <w:b/>
          <w:color w:val="3B4259"/>
          <w:sz w:val="24"/>
        </w:rPr>
        <w:t>Advance Auto Parts (AAP) — Q1 2026 Earnings Call (May 21, 2026) — Automotive Aftermarket Read-Through</w:t>
      </w:r>
    </w:p>
    <w:p>
      <w:r>
        <w:rPr>
          <w:rFonts w:ascii="Calibri" w:hAnsi="Calibri"/>
          <w:b/>
          <w:color w:val="525866"/>
          <w:sz w:val="22"/>
        </w:rPr>
        <w:t xml:space="preserve">Relevance: </w:t>
      </w:r>
      <w:r>
        <w:rPr>
          <w:rFonts w:ascii="Calibri" w:hAnsi="Calibri"/>
          <w:color w:val="525866"/>
          <w:sz w:val="22"/>
        </w:rPr>
        <w:t>AAP is a direct automotive aftermarket competitor to NAPA. Their Q1 2026 call (May 21) included forward-looking commentary about Q2 2026 trends that is directly relevant to GPC's Automotive segment.</w:t>
      </w:r>
    </w:p>
    <w:p>
      <w:pPr>
        <w:pStyle w:val="ListBullet"/>
        <w:ind w:left="360" w:hanging="360"/>
      </w:pPr>
      <w:r>
        <w:rPr>
          <w:rFonts w:ascii="Calibri" w:hAnsi="Calibri"/>
          <w:b/>
          <w:color w:val="525866"/>
          <w:sz w:val="22"/>
        </w:rPr>
        <w:t xml:space="preserve">Strongest comp growth in 5 years in Q1, but Q2 outlook more cautious: </w:t>
      </w:r>
      <w:r>
        <w:rPr>
          <w:rFonts w:ascii="Calibri" w:hAnsi="Calibri"/>
          <w:color w:val="525866"/>
          <w:sz w:val="22"/>
        </w:rPr>
        <w:t>AAP reported +3.5% comparable sales growth in Q1 2026 — their strongest in 5 years — driven by Pro channel mid-single-digit growth and positive DIY. However, management guided for Q2 to be weaker than Q1, citing the fading of tax refund tailwinds and elevated gas prices pressuring the consumer. This is a mild negative read-through for GPC's Automotive comp, suggesting the Q2 automotive aftermarket environment may be softer than Q1's +1.7% comp.</w:t>
      </w:r>
    </w:p>
    <w:p>
      <w:pPr>
        <w:pStyle w:val="ListBullet"/>
        <w:ind w:left="360" w:hanging="360"/>
      </w:pPr>
      <w:r>
        <w:rPr>
          <w:rFonts w:ascii="Calibri" w:hAnsi="Calibri"/>
          <w:b/>
          <w:color w:val="525866"/>
          <w:sz w:val="22"/>
        </w:rPr>
        <w:t xml:space="preserve">Consumer pressure from gas prices is the key Q2 risk: </w:t>
      </w:r>
      <w:r>
        <w:rPr>
          <w:rFonts w:ascii="Calibri" w:hAnsi="Calibri"/>
          <w:color w:val="525866"/>
          <w:sz w:val="22"/>
        </w:rPr>
        <w:t>AAP flagged that elevated gas prices are 'intensifying pressure on the consumer' and may introduce 'near-term demand variability' in Q2. They noted uncertainty about whether consumers are driving fewer miles due to budget pressures — a key variable for the peak driving season. This is directly relevant to GPC's North America Automotive segment and supports management's cautious Q2 tone.</w:t>
      </w:r>
    </w:p>
    <w:p>
      <w:pPr>
        <w:pStyle w:val="ListBullet"/>
        <w:ind w:left="360" w:hanging="360"/>
      </w:pPr>
      <w:r>
        <w:rPr>
          <w:rFonts w:ascii="Calibri" w:hAnsi="Calibri"/>
          <w:b/>
          <w:color w:val="525866"/>
          <w:sz w:val="22"/>
        </w:rPr>
        <w:t xml:space="preserve">Tariff inflation in line with expectations: </w:t>
      </w:r>
      <w:r>
        <w:rPr>
          <w:rFonts w:ascii="Calibri" w:hAnsi="Calibri"/>
          <w:color w:val="525866"/>
          <w:sz w:val="22"/>
        </w:rPr>
        <w:t>AAP noted that 'recent tariff regulations have not altered our inflation expectations,' with same-SKU inflation of ~3% in Q1 and 2%–3% planned for the full year. This aligns with GPC's ~2% pricing benefit assumption and suggests no incremental tariff surprise for the automotive segment.</w:t>
      </w:r>
    </w:p>
    <w:p>
      <w:pPr>
        <w:pStyle w:val="ListBullet"/>
        <w:ind w:left="360" w:hanging="360"/>
      </w:pPr>
      <w:r>
        <w:rPr>
          <w:rFonts w:ascii="Calibri" w:hAnsi="Calibri"/>
          <w:b/>
          <w:color w:val="525866"/>
          <w:sz w:val="22"/>
        </w:rPr>
        <w:t xml:space="preserve">Needs-based demand remains resilient: </w:t>
      </w:r>
      <w:r>
        <w:rPr>
          <w:rFonts w:ascii="Calibri" w:hAnsi="Calibri"/>
          <w:color w:val="525866"/>
          <w:sz w:val="22"/>
        </w:rPr>
        <w:t>AAP reiterated that less than 10% of the automotive aftermarket is discretionary — 'cars need to start and stop' — providing a floor for demand even in a consumer-pressured environment. This structural support is equally applicable to GPC's NAPA business.</w:t>
      </w:r>
    </w:p>
    <w:p>
      <w:pPr>
        <w:pStyle w:val="ListBullet"/>
        <w:ind w:left="360" w:hanging="360"/>
      </w:pPr>
      <w:r>
        <w:rPr>
          <w:rFonts w:ascii="Calibri" w:hAnsi="Calibri"/>
          <w:b/>
          <w:color w:val="525866"/>
          <w:sz w:val="22"/>
        </w:rPr>
        <w:t xml:space="preserve">Pro channel outperforming DIY: </w:t>
      </w:r>
      <w:r>
        <w:rPr>
          <w:rFonts w:ascii="Calibri" w:hAnsi="Calibri"/>
          <w:color w:val="525866"/>
          <w:sz w:val="22"/>
        </w:rPr>
        <w:t>Pro (commercial) channel was the primary driver of AAP's Q1 growth, with Main Street Pro outperforming overall Pro comp by 200+ bps. GPC's NAPA business has a similar Pro/DIY mix dynamic; if Pro continues to outperform, GPC's Automotive comp could surprise to the upside even if DIY softens.</w:t>
      </w:r>
    </w:p>
    <w:p>
      <w:pPr>
        <w:pStyle w:val="Heading3"/>
      </w:pPr>
      <w:r>
        <w:rPr>
          <w:rFonts w:ascii="Calibri" w:hAnsi="Calibri"/>
          <w:b/>
          <w:color w:val="3B4259"/>
          <w:sz w:val="24"/>
        </w:rPr>
        <w:t>AutoZone (AZO) — Q3 FY2026 Earnings Call (May 26, 2026) — Automotive Aftermarket Read-Through</w:t>
      </w:r>
    </w:p>
    <w:p>
      <w:r>
        <w:rPr>
          <w:rFonts w:ascii="Calibri" w:hAnsi="Calibri"/>
          <w:b/>
          <w:color w:val="525866"/>
          <w:sz w:val="22"/>
        </w:rPr>
        <w:t xml:space="preserve">Relevance: </w:t>
      </w:r>
      <w:r>
        <w:rPr>
          <w:rFonts w:ascii="Calibri" w:hAnsi="Calibri"/>
          <w:color w:val="525866"/>
          <w:sz w:val="22"/>
        </w:rPr>
        <w:t>AZO's fiscal Q3 2026 (ended May 2026) covers the same calendar period as GPC's Q2 2026. AZO is primarily DIY-focused but provides useful color on the broader automotive aftermarket demand environment.</w:t>
      </w:r>
    </w:p>
    <w:p>
      <w:pPr>
        <w:pStyle w:val="ListBullet"/>
        <w:ind w:left="360" w:hanging="360"/>
      </w:pPr>
      <w:r>
        <w:rPr>
          <w:rFonts w:ascii="Calibri" w:hAnsi="Calibri"/>
          <w:b/>
          <w:color w:val="525866"/>
          <w:sz w:val="22"/>
        </w:rPr>
        <w:t xml:space="preserve">Automotive aftermarket fundamentals remain intact: </w:t>
      </w:r>
      <w:r>
        <w:rPr>
          <w:rFonts w:ascii="Calibri" w:hAnsi="Calibri"/>
          <w:color w:val="525866"/>
          <w:sz w:val="22"/>
        </w:rPr>
        <w:t>AZO's Q3 results confirmed that the underlying demand drivers for the automotive aftermarket — aging vehicle population, growing car park, increasing miles driven — remain supportive. This is consistent with GPC's long-term demand thesis for the NAPA business.</w:t>
      </w:r>
    </w:p>
    <w:p>
      <w:pPr>
        <w:pStyle w:val="ListBullet"/>
        <w:ind w:left="360" w:hanging="360"/>
      </w:pPr>
      <w:r>
        <w:rPr>
          <w:rFonts w:ascii="Calibri" w:hAnsi="Calibri"/>
          <w:b/>
          <w:color w:val="525866"/>
          <w:sz w:val="22"/>
        </w:rPr>
        <w:t xml:space="preserve">Comparable sales growth positive but moderating: </w:t>
      </w:r>
      <w:r>
        <w:rPr>
          <w:rFonts w:ascii="Calibri" w:hAnsi="Calibri"/>
          <w:color w:val="525866"/>
          <w:sz w:val="22"/>
        </w:rPr>
        <w:t>AZO reported positive comparable sales growth in their fiscal Q3, though the pace moderated from Q2 as tax refund tailwinds faded. The sequential moderation in AZO's comps is a mild negative read-through for GPC's Automotive segment in Q2 2026, suggesting the easy-comparison benefit from Q1 may not fully repeat.</w:t>
      </w:r>
    </w:p>
    <w:p>
      <w:pPr>
        <w:pStyle w:val="ListBullet"/>
        <w:ind w:left="360" w:hanging="360"/>
      </w:pPr>
      <w:r>
        <w:rPr>
          <w:rFonts w:ascii="Calibri" w:hAnsi="Calibri"/>
          <w:b/>
          <w:color w:val="525866"/>
          <w:sz w:val="22"/>
        </w:rPr>
        <w:t xml:space="preserve">Commercial (Pro) channel remains the growth driver: </w:t>
      </w:r>
      <w:r>
        <w:rPr>
          <w:rFonts w:ascii="Calibri" w:hAnsi="Calibri"/>
          <w:color w:val="525866"/>
          <w:sz w:val="22"/>
        </w:rPr>
        <w:t>AZO continued to see stronger growth in its commercial channel vs. DIY, consistent with the broader industry trend. GPC's NAPA commercial business should benefit from the same dynamic.</w:t>
      </w:r>
    </w:p>
    <w:p>
      <w:pPr>
        <w:pStyle w:val="Heading3"/>
      </w:pPr>
      <w:r>
        <w:rPr>
          <w:rFonts w:ascii="Calibri" w:hAnsi="Calibri"/>
          <w:b/>
          <w:color w:val="3B4259"/>
          <w:sz w:val="24"/>
        </w:rPr>
        <w:t>W.W. Grainger (GWW) — Q1 2026 Earnings Call (May 7, 2026) — Industrial MRO Read-Through</w:t>
      </w:r>
    </w:p>
    <w:p>
      <w:r>
        <w:rPr>
          <w:rFonts w:ascii="Calibri" w:hAnsi="Calibri"/>
          <w:b/>
          <w:color w:val="525866"/>
          <w:sz w:val="22"/>
        </w:rPr>
        <w:t xml:space="preserve">Relevance: </w:t>
      </w:r>
      <w:r>
        <w:rPr>
          <w:rFonts w:ascii="Calibri" w:hAnsi="Calibri"/>
          <w:color w:val="525866"/>
          <w:sz w:val="22"/>
        </w:rPr>
        <w:t>GWW is the largest U.S. industrial MRO distributor and a direct competitor to GPC's Motion Industries. Their Q1 2026 call (May 7) included forward-looking commentary about Q2 2026 industrial demand trends.</w:t>
      </w:r>
    </w:p>
    <w:p>
      <w:pPr>
        <w:pStyle w:val="ListBullet"/>
        <w:ind w:left="360" w:hanging="360"/>
      </w:pPr>
      <w:r>
        <w:rPr>
          <w:rFonts w:ascii="Calibri" w:hAnsi="Calibri"/>
          <w:b/>
          <w:color w:val="525866"/>
          <w:sz w:val="22"/>
        </w:rPr>
        <w:t xml:space="preserve">Industrial MRO demand inflecting to positive: </w:t>
      </w:r>
      <w:r>
        <w:rPr>
          <w:rFonts w:ascii="Calibri" w:hAnsi="Calibri"/>
          <w:color w:val="525866"/>
          <w:sz w:val="22"/>
        </w:rPr>
        <w:t>GWW CEO noted that 'the volume growth in the market, most signals would suggest it turned to slightly positive' — a significant statement given the prolonged period of negative industrial PMI. GWW projected full-year 2026 market volume growth of '0 to 1-ish%,' which is consistent with GPC's assumption of 'roughly flat' market growth with pricing providing the incremental lift.</w:t>
      </w:r>
    </w:p>
    <w:p>
      <w:pPr>
        <w:pStyle w:val="ListBullet"/>
        <w:ind w:left="360" w:hanging="360"/>
      </w:pPr>
      <w:r>
        <w:rPr>
          <w:rFonts w:ascii="Calibri" w:hAnsi="Calibri"/>
          <w:b/>
          <w:color w:val="525866"/>
          <w:sz w:val="22"/>
        </w:rPr>
        <w:t xml:space="preserve">Broad-based acceleration across end markets: </w:t>
      </w:r>
      <w:r>
        <w:rPr>
          <w:rFonts w:ascii="Calibri" w:hAnsi="Calibri"/>
          <w:color w:val="525866"/>
          <w:sz w:val="22"/>
        </w:rPr>
        <w:t>GWW saw broad-based acceleration across manufacturing, government, and contractor customers in Q1, with the momentum sustaining into April. This is a positive read-through for GPC's Motion Industries, which serves similar end markets.</w:t>
      </w:r>
    </w:p>
    <w:p>
      <w:pPr>
        <w:pStyle w:val="ListBullet"/>
        <w:ind w:left="360" w:hanging="360"/>
      </w:pPr>
      <w:r>
        <w:rPr>
          <w:rFonts w:ascii="Calibri" w:hAnsi="Calibri"/>
          <w:b/>
          <w:color w:val="525866"/>
          <w:sz w:val="22"/>
        </w:rPr>
        <w:t xml:space="preserve">No demand destruction from tariff uncertainty: </w:t>
      </w:r>
      <w:r>
        <w:rPr>
          <w:rFonts w:ascii="Calibri" w:hAnsi="Calibri"/>
          <w:color w:val="525866"/>
          <w:sz w:val="22"/>
        </w:rPr>
        <w:t>GWW explicitly noted they have not seen customers stop projects or engage in significant inventory buying ahead in the U.S. due to tariff uncertainty. This supports GPC's view that the industrial demand environment is genuine and not pull-forward driven.</w:t>
      </w:r>
    </w:p>
    <w:p>
      <w:pPr>
        <w:pStyle w:val="ListBullet"/>
        <w:ind w:left="360" w:hanging="360"/>
      </w:pPr>
      <w:r>
        <w:rPr>
          <w:rFonts w:ascii="Calibri" w:hAnsi="Calibri"/>
          <w:b/>
          <w:color w:val="525866"/>
          <w:sz w:val="22"/>
        </w:rPr>
        <w:t xml:space="preserve">Q2 margin headwind from fuel costs and price/cost timing: </w:t>
      </w:r>
      <w:r>
        <w:rPr>
          <w:rFonts w:ascii="Calibri" w:hAnsi="Calibri"/>
          <w:color w:val="525866"/>
          <w:sz w:val="22"/>
        </w:rPr>
        <w:t>GWW flagged that Q2 would see some cost timing headwinds reverse (lower-cost private label inventory sell-through that didn't occur in Q1 is now hitting in Q2) and elevated fuel costs are pressuring margins. GWW described a 'U-shape' for margins through the year, with Q2 as the trough. This is a mild negative read-through for GPC's Industrial EBITDA margin in Q2 vs. the 13.4% consensus estimate.</w:t>
      </w:r>
    </w:p>
    <w:p>
      <w:pPr>
        <w:pStyle w:val="ListBullet"/>
        <w:ind w:left="360" w:hanging="360"/>
      </w:pPr>
      <w:r>
        <w:rPr>
          <w:rFonts w:ascii="Calibri" w:hAnsi="Calibri"/>
          <w:b/>
          <w:color w:val="525866"/>
          <w:sz w:val="22"/>
        </w:rPr>
        <w:t xml:space="preserve">Tariff pass-through largely effective: </w:t>
      </w:r>
      <w:r>
        <w:rPr>
          <w:rFonts w:ascii="Calibri" w:hAnsi="Calibri"/>
          <w:color w:val="525866"/>
          <w:sz w:val="22"/>
        </w:rPr>
        <w:t>GWW's January price increases (incorporating 2025 tariff lag and 2026 negotiated cost increases) were 'largely effective as of February 1,' and the May pricing action was 'net neutral in total.' This confirms that the industrial distribution channel has successfully passed through tariff costs without significant demand destruction — a positive read-through for GPC's Motion Industries pricing.</w:t>
      </w:r>
    </w:p>
    <w:p>
      <w:pPr>
        <w:pStyle w:val="Heading3"/>
      </w:pPr>
      <w:r>
        <w:rPr>
          <w:rFonts w:ascii="Calibri" w:hAnsi="Calibri"/>
          <w:b/>
          <w:color w:val="3B4259"/>
          <w:sz w:val="24"/>
        </w:rPr>
        <w:t>Dorman Products (DORM) — Q1 2026 Earnings Call (May 5, 2026) — Automotive Parts Supplier Read-Through</w:t>
      </w:r>
    </w:p>
    <w:p>
      <w:r>
        <w:rPr>
          <w:rFonts w:ascii="Calibri" w:hAnsi="Calibri"/>
          <w:b/>
          <w:color w:val="525866"/>
          <w:sz w:val="22"/>
        </w:rPr>
        <w:t xml:space="preserve">Relevance: </w:t>
      </w:r>
      <w:r>
        <w:rPr>
          <w:rFonts w:ascii="Calibri" w:hAnsi="Calibri"/>
          <w:color w:val="525866"/>
          <w:sz w:val="22"/>
        </w:rPr>
        <w:t>DORM is an automotive parts supplier that sells into the same aftermarket channel as GPC's NAPA business. Their Q1 2026 call (May 5) provides color on channel inventory dynamics and demand trends heading into Q2.</w:t>
      </w:r>
    </w:p>
    <w:p>
      <w:pPr>
        <w:pStyle w:val="ListBullet"/>
        <w:ind w:left="360" w:hanging="360"/>
      </w:pPr>
      <w:r>
        <w:rPr>
          <w:rFonts w:ascii="Calibri" w:hAnsi="Calibri"/>
          <w:b/>
          <w:color w:val="525866"/>
          <w:sz w:val="22"/>
        </w:rPr>
        <w:t xml:space="preserve">Channel inventory behavior normalizing: </w:t>
      </w:r>
      <w:r>
        <w:rPr>
          <w:rFonts w:ascii="Calibri" w:hAnsi="Calibri"/>
          <w:color w:val="525866"/>
          <w:sz w:val="22"/>
        </w:rPr>
        <w:t>DORM noted that distributor inventory levels are normalizing after the post-COVID destocking cycle, with independent owners resuming more regular purchasing patterns. This is consistent with GPC's Q1 commentary about sequentially improved purchasing trends from independent NAPA store owners and management's active engagement with the largest independent owners.</w:t>
      </w:r>
    </w:p>
    <w:p>
      <w:pPr>
        <w:pStyle w:val="ListBullet"/>
        <w:ind w:left="360" w:hanging="360"/>
      </w:pPr>
      <w:r>
        <w:rPr>
          <w:rFonts w:ascii="Calibri" w:hAnsi="Calibri"/>
          <w:b/>
          <w:color w:val="525866"/>
          <w:sz w:val="22"/>
        </w:rPr>
        <w:t xml:space="preserve">Tariff impact manageable for automotive parts: </w:t>
      </w:r>
      <w:r>
        <w:rPr>
          <w:rFonts w:ascii="Calibri" w:hAnsi="Calibri"/>
          <w:color w:val="525866"/>
          <w:sz w:val="22"/>
        </w:rPr>
        <w:t>DORM indicated that tariff-related cost increases are being passed through to distributors (including NAPA) in a manner consistent with normal annual price negotiations. This supports GPC's view that the ~2% pricing benefit from tariffs is sustainable and not creating channel disruption.</w:t>
      </w:r>
    </w:p>
    <w:p>
      <w:pPr>
        <w:pStyle w:val="ListBullet"/>
        <w:ind w:left="360" w:hanging="360"/>
      </w:pPr>
      <w:r>
        <w:rPr>
          <w:rFonts w:ascii="Calibri" w:hAnsi="Calibri"/>
          <w:b/>
          <w:color w:val="525866"/>
          <w:sz w:val="22"/>
        </w:rPr>
        <w:t xml:space="preserve">Demand environment improving but not robust: </w:t>
      </w:r>
      <w:r>
        <w:rPr>
          <w:rFonts w:ascii="Calibri" w:hAnsi="Calibri"/>
          <w:color w:val="525866"/>
          <w:sz w:val="22"/>
        </w:rPr>
        <w:t>DORM described the automotive aftermarket demand environment as 'improving but not robust' — a characterization that aligns with GPC's own cautious optimism. The company noted that the needs-based nature of the business provides a floor, but discretionary repair deferrals remain a headwind in a consumer-pressured environment.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GPC Segment</w:t>
            </w:r>
          </w:p>
        </w:tc>
        <w:tc>
          <w:tcPr>
            <w:tcW w:type="dxa" w:w="1728"/>
            <w:shd w:val="clear" w:color="auto" w:fill="3B4259"/>
          </w:tcPr>
          <w:p>
            <w:r>
              <w:rPr>
                <w:rFonts w:ascii="Calibri" w:hAnsi="Calibri"/>
                <w:b/>
                <w:color w:val="FFFFFF"/>
                <w:sz w:val="22"/>
              </w:rPr>
              <w:t>Key Q2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FAST (Fastenal)</w:t>
            </w:r>
          </w:p>
        </w:tc>
        <w:tc>
          <w:tcPr>
            <w:tcW w:type="dxa" w:w="1728"/>
          </w:tcPr>
          <w:p>
            <w:r>
              <w:rPr>
                <w:rFonts w:ascii="Calibri" w:hAnsi="Calibri"/>
                <w:sz w:val="22"/>
              </w:rPr>
              <w:t>Jul 14, 2026 (Q2 2026)</w:t>
            </w:r>
          </w:p>
        </w:tc>
        <w:tc>
          <w:tcPr>
            <w:tcW w:type="dxa" w:w="1728"/>
          </w:tcPr>
          <w:p>
            <w:r>
              <w:rPr>
                <w:rFonts w:ascii="Calibri" w:hAnsi="Calibri"/>
                <w:sz w:val="22"/>
              </w:rPr>
              <w:t>Industrial (Motion)</w:t>
            </w:r>
          </w:p>
        </w:tc>
        <w:tc>
          <w:tcPr>
            <w:tcW w:type="dxa" w:w="1728"/>
          </w:tcPr>
          <w:p>
            <w:r>
              <w:rPr>
                <w:rFonts w:ascii="Calibri" w:hAnsi="Calibri"/>
                <w:sz w:val="22"/>
              </w:rPr>
              <w:t>Mid-single-digit ADS growth; tariff pass-through normalized; no demand destruction; fuel cost headwind modest</w:t>
            </w:r>
          </w:p>
        </w:tc>
        <w:tc>
          <w:tcPr>
            <w:tcW w:type="dxa" w:w="1728"/>
          </w:tcPr>
          <w:p>
            <w:r>
              <w:rPr>
                <w:rFonts w:ascii="Calibri" w:hAnsi="Calibri"/>
                <w:b/>
                <w:color w:val="30A46C"/>
                <w:sz w:val="22"/>
              </w:rPr>
              <w:t>Positive</w:t>
            </w:r>
          </w:p>
        </w:tc>
      </w:tr>
      <w:tr>
        <w:tc>
          <w:tcPr>
            <w:tcW w:type="dxa" w:w="1728"/>
          </w:tcPr>
          <w:p>
            <w:r>
              <w:rPr>
                <w:rFonts w:ascii="Calibri" w:hAnsi="Calibri"/>
                <w:sz w:val="22"/>
              </w:rPr>
              <w:t>AAP (Advance Auto)</w:t>
            </w:r>
          </w:p>
        </w:tc>
        <w:tc>
          <w:tcPr>
            <w:tcW w:type="dxa" w:w="1728"/>
          </w:tcPr>
          <w:p>
            <w:r>
              <w:rPr>
                <w:rFonts w:ascii="Calibri" w:hAnsi="Calibri"/>
                <w:sz w:val="22"/>
              </w:rPr>
              <w:t>May 21, 2026 (Q1 2026)</w:t>
            </w:r>
          </w:p>
        </w:tc>
        <w:tc>
          <w:tcPr>
            <w:tcW w:type="dxa" w:w="1728"/>
          </w:tcPr>
          <w:p>
            <w:r>
              <w:rPr>
                <w:rFonts w:ascii="Calibri" w:hAnsi="Calibri"/>
                <w:sz w:val="22"/>
              </w:rPr>
              <w:t>Automotive (NAPA)</w:t>
            </w:r>
          </w:p>
        </w:tc>
        <w:tc>
          <w:tcPr>
            <w:tcW w:type="dxa" w:w="1728"/>
          </w:tcPr>
          <w:p>
            <w:r>
              <w:rPr>
                <w:rFonts w:ascii="Calibri" w:hAnsi="Calibri"/>
                <w:sz w:val="22"/>
              </w:rPr>
              <w:t>Q2 softer than Q1 as tax refund tailwinds fade; gas prices pressuring DIY; Pro channel resilient; tariff inflation in line</w:t>
            </w:r>
          </w:p>
        </w:tc>
        <w:tc>
          <w:tcPr>
            <w:tcW w:type="dxa" w:w="1728"/>
          </w:tcPr>
          <w:p>
            <w:r>
              <w:rPr>
                <w:rFonts w:ascii="Calibri" w:hAnsi="Calibri"/>
                <w:b/>
                <w:color w:val="002FA7"/>
                <w:sz w:val="22"/>
              </w:rPr>
              <w:t>Mixed</w:t>
            </w:r>
          </w:p>
        </w:tc>
      </w:tr>
      <w:tr>
        <w:tc>
          <w:tcPr>
            <w:tcW w:type="dxa" w:w="1728"/>
          </w:tcPr>
          <w:p>
            <w:r>
              <w:rPr>
                <w:rFonts w:ascii="Calibri" w:hAnsi="Calibri"/>
                <w:sz w:val="22"/>
              </w:rPr>
              <w:t>AZO (AutoZone)</w:t>
            </w:r>
          </w:p>
        </w:tc>
        <w:tc>
          <w:tcPr>
            <w:tcW w:type="dxa" w:w="1728"/>
          </w:tcPr>
          <w:p>
            <w:r>
              <w:rPr>
                <w:rFonts w:ascii="Calibri" w:hAnsi="Calibri"/>
                <w:sz w:val="22"/>
              </w:rPr>
              <w:t>May 26, 2026 (Q3 FY2026)</w:t>
            </w:r>
          </w:p>
        </w:tc>
        <w:tc>
          <w:tcPr>
            <w:tcW w:type="dxa" w:w="1728"/>
          </w:tcPr>
          <w:p>
            <w:r>
              <w:rPr>
                <w:rFonts w:ascii="Calibri" w:hAnsi="Calibri"/>
                <w:sz w:val="22"/>
              </w:rPr>
              <w:t>Automotive (NAPA)</w:t>
            </w:r>
          </w:p>
        </w:tc>
        <w:tc>
          <w:tcPr>
            <w:tcW w:type="dxa" w:w="1728"/>
          </w:tcPr>
          <w:p>
            <w:r>
              <w:rPr>
                <w:rFonts w:ascii="Calibri" w:hAnsi="Calibri"/>
                <w:sz w:val="22"/>
              </w:rPr>
              <w:t>Positive comps but moderating from Q1; commercial outperforming DIY; underlying fundamentals intact</w:t>
            </w:r>
          </w:p>
        </w:tc>
        <w:tc>
          <w:tcPr>
            <w:tcW w:type="dxa" w:w="1728"/>
          </w:tcPr>
          <w:p>
            <w:r>
              <w:rPr>
                <w:rFonts w:ascii="Calibri" w:hAnsi="Calibri"/>
                <w:b/>
                <w:color w:val="002FA7"/>
                <w:sz w:val="22"/>
              </w:rPr>
              <w:t>Mixed</w:t>
            </w:r>
          </w:p>
        </w:tc>
      </w:tr>
      <w:tr>
        <w:tc>
          <w:tcPr>
            <w:tcW w:type="dxa" w:w="1728"/>
          </w:tcPr>
          <w:p>
            <w:r>
              <w:rPr>
                <w:rFonts w:ascii="Calibri" w:hAnsi="Calibri"/>
                <w:sz w:val="22"/>
              </w:rPr>
              <w:t>GWW (Grainger)</w:t>
            </w:r>
          </w:p>
        </w:tc>
        <w:tc>
          <w:tcPr>
            <w:tcW w:type="dxa" w:w="1728"/>
          </w:tcPr>
          <w:p>
            <w:r>
              <w:rPr>
                <w:rFonts w:ascii="Calibri" w:hAnsi="Calibri"/>
                <w:sz w:val="22"/>
              </w:rPr>
              <w:t>May 7, 2026 (Q1 2026)</w:t>
            </w:r>
          </w:p>
        </w:tc>
        <w:tc>
          <w:tcPr>
            <w:tcW w:type="dxa" w:w="1728"/>
          </w:tcPr>
          <w:p>
            <w:r>
              <w:rPr>
                <w:rFonts w:ascii="Calibri" w:hAnsi="Calibri"/>
                <w:sz w:val="22"/>
              </w:rPr>
              <w:t>Industrial (Motion)</w:t>
            </w:r>
          </w:p>
        </w:tc>
        <w:tc>
          <w:tcPr>
            <w:tcW w:type="dxa" w:w="1728"/>
          </w:tcPr>
          <w:p>
            <w:r>
              <w:rPr>
                <w:rFonts w:ascii="Calibri" w:hAnsi="Calibri"/>
                <w:sz w:val="22"/>
              </w:rPr>
              <w:t>Market volume turning slightly positive; broad-based end market acceleration; Q2 margin trough from fuel/cost timing; tariff pass-through effective</w:t>
            </w:r>
          </w:p>
        </w:tc>
        <w:tc>
          <w:tcPr>
            <w:tcW w:type="dxa" w:w="1728"/>
          </w:tcPr>
          <w:p>
            <w:r>
              <w:rPr>
                <w:rFonts w:ascii="Calibri" w:hAnsi="Calibri"/>
                <w:b/>
                <w:color w:val="30A46C"/>
                <w:sz w:val="22"/>
              </w:rPr>
              <w:t>Positive</w:t>
            </w:r>
          </w:p>
        </w:tc>
      </w:tr>
      <w:tr>
        <w:tc>
          <w:tcPr>
            <w:tcW w:type="dxa" w:w="1728"/>
          </w:tcPr>
          <w:p>
            <w:r>
              <w:rPr>
                <w:rFonts w:ascii="Calibri" w:hAnsi="Calibri"/>
                <w:sz w:val="22"/>
              </w:rPr>
              <w:t>DORM (Dorman)</w:t>
            </w:r>
          </w:p>
        </w:tc>
        <w:tc>
          <w:tcPr>
            <w:tcW w:type="dxa" w:w="1728"/>
          </w:tcPr>
          <w:p>
            <w:r>
              <w:rPr>
                <w:rFonts w:ascii="Calibri" w:hAnsi="Calibri"/>
                <w:sz w:val="22"/>
              </w:rPr>
              <w:t>May 5, 2026 (Q1 2026)</w:t>
            </w:r>
          </w:p>
        </w:tc>
        <w:tc>
          <w:tcPr>
            <w:tcW w:type="dxa" w:w="1728"/>
          </w:tcPr>
          <w:p>
            <w:r>
              <w:rPr>
                <w:rFonts w:ascii="Calibri" w:hAnsi="Calibri"/>
                <w:sz w:val="22"/>
              </w:rPr>
              <w:t>Automotive (NAPA)</w:t>
            </w:r>
          </w:p>
        </w:tc>
        <w:tc>
          <w:tcPr>
            <w:tcW w:type="dxa" w:w="1728"/>
          </w:tcPr>
          <w:p>
            <w:r>
              <w:rPr>
                <w:rFonts w:ascii="Calibri" w:hAnsi="Calibri"/>
                <w:sz w:val="22"/>
              </w:rPr>
              <w:t>Channel inventory normalizing; tariff pass-through manageable; demand improving but not robust</w:t>
            </w:r>
          </w:p>
        </w:tc>
        <w:tc>
          <w:tcPr>
            <w:tcW w:type="dxa" w:w="1728"/>
          </w:tcPr>
          <w:p>
            <w:r>
              <w:rPr>
                <w:rFonts w:ascii="Calibri" w:hAnsi="Calibri"/>
                <w:b/>
                <w:color w:val="002FA7"/>
                <w:sz w:val="22"/>
              </w:rPr>
              <w:t>Cautiously Positive</w:t>
            </w:r>
          </w:p>
        </w:tc>
      </w:tr>
    </w:tbl>
    <w:p>
      <w:r>
        <w:br w:type="page"/>
      </w:r>
    </w:p>
    <w:p>
      <w:pPr>
        <w:pStyle w:val="Heading2"/>
      </w:pPr>
      <w:r>
        <w:rPr>
          <w:rFonts w:ascii="Calibri" w:hAnsi="Calibri"/>
          <w:b/>
          <w:color w:val="3B4259"/>
          <w:sz w:val="28"/>
        </w:rPr>
        <w:t>7. Material News &amp; Developments (Since Q1 2026 Earnings)</w:t>
      </w:r>
    </w:p>
    <w:p>
      <w:r>
        <w:rPr>
          <w:rFonts w:ascii="Calibri" w:hAnsi="Calibri"/>
          <w:b/>
          <w:color w:val="525866"/>
          <w:sz w:val="22"/>
        </w:rPr>
        <w:t xml:space="preserve">Key Takeaway: </w:t>
      </w:r>
      <w:r>
        <w:rPr>
          <w:rFonts w:ascii="Calibri" w:hAnsi="Calibri"/>
          <w:b/>
          <w:color w:val="525866"/>
          <w:sz w:val="22"/>
        </w:rPr>
        <w:t>The O'Reilly bid report is the dominant news item since Q1 earnings and has fundamentally changed the stock's narrative from an operational turnaround story to a strategic event story; the $1B term loan secured in April provides separation financing optionality, and the dividend reaffirmation signals balance sheet confidence.</w:t>
      </w:r>
    </w:p>
    <w:p>
      <w:pPr>
        <w:pStyle w:val="ListBullet"/>
        <w:ind w:left="360" w:hanging="360"/>
      </w:pPr>
      <w:r>
        <w:rPr>
          <w:rFonts w:ascii="Calibri" w:hAnsi="Calibri"/>
          <w:b/>
          <w:color w:val="525866"/>
          <w:sz w:val="22"/>
        </w:rPr>
        <w:t xml:space="preserve">O'Reilly Automotive Bid Report (July 2, 2026): </w:t>
      </w:r>
      <w:r>
        <w:rPr>
          <w:rFonts w:ascii="Calibri" w:hAnsi="Calibri"/>
          <w:color w:val="525866"/>
          <w:sz w:val="22"/>
        </w:rPr>
        <w:t>Market reports circulated that O'Reilly Automotive submitted a cash offer for GPC's automotive parts division, potentially valued at $10B or more. The report indicated GPC could still keep the unit, continue with the planned spinoff, or attract other bidders, suggesting a competitive strategic process may be developing. GPC stock surged +12.1% on the day. GPC had already announced in February 2026 its plan to separate automotive and industrial into two public companies (targeted Q1 2027). Any confirmation, denial, or update on this process at tomorrow's earnings call will be the primary market focus.</w:t>
      </w:r>
    </w:p>
    <w:p>
      <w:pPr>
        <w:pStyle w:val="ListBullet"/>
        <w:ind w:left="360" w:hanging="360"/>
      </w:pPr>
      <w:r>
        <w:rPr>
          <w:rFonts w:ascii="Calibri" w:hAnsi="Calibri"/>
          <w:b/>
          <w:color w:val="525866"/>
          <w:sz w:val="22"/>
        </w:rPr>
        <w:t xml:space="preserve">$1 Billion Term Loan Facility (April 28, 2026): </w:t>
      </w:r>
      <w:r>
        <w:rPr>
          <w:rFonts w:ascii="Calibri" w:hAnsi="Calibri"/>
          <w:color w:val="525866"/>
          <w:sz w:val="22"/>
        </w:rPr>
        <w:t>GPC entered into a Seventh Amendment to its Syndicated Facility Agreement, establishing two new facilities: an Initial Term Loan A of $500M and a Delayed Draw Term Loan of $500M (together $1B). Interest rate: SOFR + 0.875%–1.500% based on credit rating. Maturity: October 28, 2027. This facility is widely viewed as separation financing, providing liquidity to fund standalone costs and dis-synergies for the two new public companies.</w:t>
      </w:r>
    </w:p>
    <w:p>
      <w:pPr>
        <w:pStyle w:val="ListBullet"/>
        <w:ind w:left="360" w:hanging="360"/>
      </w:pPr>
      <w:r>
        <w:rPr>
          <w:rFonts w:ascii="Calibri" w:hAnsi="Calibri"/>
          <w:b/>
          <w:color w:val="525866"/>
          <w:sz w:val="22"/>
        </w:rPr>
        <w:t xml:space="preserve">Quarterly Dividend Declared (April 27, 2026): </w:t>
      </w:r>
      <w:r>
        <w:rPr>
          <w:rFonts w:ascii="Calibri" w:hAnsi="Calibri"/>
          <w:color w:val="525866"/>
          <w:sz w:val="22"/>
        </w:rPr>
        <w:t>GPC's Board declared a regular quarterly cash dividend of $1.0625 per share ($4.25 annualized), payable July 2, 2026 to shareholders of record June 5, 2026. This represents a 3.2% dividend increase and signals management's confidence in cash generation through the separation process.</w:t>
      </w:r>
    </w:p>
    <w:p>
      <w:pPr>
        <w:pStyle w:val="ListBullet"/>
        <w:ind w:left="360" w:hanging="360"/>
      </w:pPr>
      <w:r>
        <w:rPr>
          <w:rFonts w:ascii="Calibri" w:hAnsi="Calibri"/>
          <w:b/>
          <w:color w:val="525866"/>
          <w:sz w:val="22"/>
        </w:rPr>
        <w:t xml:space="preserve">Separation Progress Update (Q1 2026 Earnings, April 21): </w:t>
      </w:r>
      <w:r>
        <w:rPr>
          <w:rFonts w:ascii="Calibri" w:hAnsi="Calibri"/>
          <w:color w:val="525866"/>
          <w:sz w:val="22"/>
        </w:rPr>
        <w:t>Management confirmed the separation of Global Automotive and Global Industrial is on track for Q1 2027. Dis-synergy and standalone cost estimates confirmed at $100M–$150M incremental run-rate costs. Investor days planned for H2 2026 to detail each standalone business's strategy. The announcement was described as 'well-received by investors, customers, suppliers, and employees.'</w:t>
      </w:r>
    </w:p>
    <w:p>
      <w:pPr>
        <w:pStyle w:val="ListBullet"/>
        <w:ind w:left="360" w:hanging="360"/>
      </w:pPr>
      <w:r>
        <w:rPr>
          <w:rFonts w:ascii="Calibri" w:hAnsi="Calibri"/>
          <w:b/>
          <w:color w:val="525866"/>
          <w:sz w:val="22"/>
        </w:rPr>
        <w:t xml:space="preserve">Iran Conflict Supply Chain Risk (Quantified at Q1 Earnings): </w:t>
      </w:r>
      <w:r>
        <w:rPr>
          <w:rFonts w:ascii="Calibri" w:hAnsi="Calibri"/>
          <w:color w:val="525866"/>
          <w:sz w:val="22"/>
        </w:rPr>
        <w:t>Management quantified the Iran conflict impact at $10–$20M of net EBITDA downside risk for Q2 2026, driven by higher freight, fuel, and cost of goods sold, partially offset by pricing. Duration of disruption identified as the key variable. This headwind is now embedded in Q2 consensus estimates.</w:t>
      </w:r>
    </w:p>
    <w:p>
      <w:pPr>
        <w:pStyle w:val="ListBullet"/>
        <w:ind w:left="360" w:hanging="360"/>
      </w:pPr>
      <w:r>
        <w:rPr>
          <w:rFonts w:ascii="Calibri" w:hAnsi="Calibri"/>
          <w:b/>
          <w:color w:val="525866"/>
          <w:sz w:val="22"/>
        </w:rPr>
        <w:t xml:space="preserve">Earnings Date Confirmed: </w:t>
      </w:r>
      <w:r>
        <w:rPr>
          <w:rFonts w:ascii="Calibri" w:hAnsi="Calibri"/>
          <w:color w:val="525866"/>
          <w:sz w:val="22"/>
        </w:rPr>
        <w:t>GPC confirmed Q2 2026 results will be reported on July 21, 2026 (pre-market), with a conference call at 8:30 a.m. ET.</w:t>
      </w:r>
    </w:p>
    <w:p>
      <w:pPr>
        <w:pStyle w:val="Heading2"/>
      </w:pPr>
      <w:r>
        <w:rPr>
          <w:rFonts w:ascii="Calibri" w:hAnsi="Calibri"/>
          <w:b/>
          <w:color w:val="3B4259"/>
          <w:sz w:val="28"/>
        </w:rPr>
        <w:t>8. Insider Transaction Activity (Since Q1 2026 Earnings)</w:t>
      </w:r>
    </w:p>
    <w:p>
      <w:r>
        <w:rPr>
          <w:rFonts w:ascii="Calibri" w:hAnsi="Calibri"/>
          <w:b/>
          <w:color w:val="525866"/>
          <w:sz w:val="22"/>
        </w:rPr>
        <w:t xml:space="preserve">Key Takeaway: </w:t>
      </w:r>
      <w:r>
        <w:rPr>
          <w:rFonts w:ascii="Calibri" w:hAnsi="Calibri"/>
          <w:b/>
          <w:color w:val="525866"/>
          <w:sz w:val="22"/>
        </w:rPr>
        <w:t>Insider activity since Q1 earnings is dominated by routine equity award vesting and tax withholding transactions (Form F and M codes) with no discretionary open-market purchases; the one notable discretionary sale is the SVP/General Counsel's 10b5-1 plan sale in late June, which is pre-planned and not a directional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10b5-1?</w:t>
            </w:r>
          </w:p>
        </w:tc>
      </w:tr>
      <w:tr>
        <w:tc>
          <w:tcPr>
            <w:tcW w:type="dxa" w:w="1234"/>
          </w:tcPr>
          <w:p>
            <w:r>
              <w:rPr>
                <w:rFonts w:ascii="Calibri" w:hAnsi="Calibri"/>
                <w:sz w:val="22"/>
              </w:rPr>
              <w:t>Galla, Christopher T.</w:t>
            </w:r>
          </w:p>
        </w:tc>
        <w:tc>
          <w:tcPr>
            <w:tcW w:type="dxa" w:w="1234"/>
          </w:tcPr>
          <w:p>
            <w:r>
              <w:rPr>
                <w:rFonts w:ascii="Calibri" w:hAnsi="Calibri"/>
                <w:sz w:val="22"/>
              </w:rPr>
              <w:t>SVP, GC &amp; Corp. Secretary</w:t>
            </w:r>
          </w:p>
        </w:tc>
        <w:tc>
          <w:tcPr>
            <w:tcW w:type="dxa" w:w="1234"/>
          </w:tcPr>
          <w:p>
            <w:r>
              <w:rPr>
                <w:rFonts w:ascii="Calibri" w:hAnsi="Calibri"/>
                <w:sz w:val="22"/>
              </w:rPr>
              <w:t>Jun 26, 2026</w:t>
            </w:r>
          </w:p>
        </w:tc>
        <w:tc>
          <w:tcPr>
            <w:tcW w:type="dxa" w:w="1234"/>
          </w:tcPr>
          <w:p>
            <w:r>
              <w:rPr>
                <w:rFonts w:ascii="Calibri" w:hAnsi="Calibri"/>
                <w:sz w:val="22"/>
              </w:rPr>
              <w:t>Sale (S)</w:t>
            </w:r>
          </w:p>
        </w:tc>
        <w:tc>
          <w:tcPr>
            <w:tcW w:type="dxa" w:w="1234"/>
          </w:tcPr>
          <w:p>
            <w:r>
              <w:rPr>
                <w:rFonts w:ascii="Calibri" w:hAnsi="Calibri"/>
                <w:sz w:val="22"/>
              </w:rPr>
              <w:t>2,333</w:t>
            </w:r>
          </w:p>
        </w:tc>
        <w:tc>
          <w:tcPr>
            <w:tcW w:type="dxa" w:w="1234"/>
          </w:tcPr>
          <w:p>
            <w:r>
              <w:rPr>
                <w:rFonts w:ascii="Calibri" w:hAnsi="Calibri"/>
                <w:sz w:val="22"/>
              </w:rPr>
              <w:t>Common Stock</w:t>
            </w:r>
          </w:p>
        </w:tc>
        <w:tc>
          <w:tcPr>
            <w:tcW w:type="dxa" w:w="1234"/>
          </w:tcPr>
          <w:p>
            <w:r>
              <w:rPr>
                <w:rFonts w:ascii="Calibri" w:hAnsi="Calibri"/>
                <w:sz w:val="22"/>
              </w:rPr>
              <w:t>Yes (10b5-1)</w:t>
            </w:r>
          </w:p>
        </w:tc>
      </w:tr>
      <w:tr>
        <w:tc>
          <w:tcPr>
            <w:tcW w:type="dxa" w:w="1234"/>
          </w:tcPr>
          <w:p>
            <w:r>
              <w:rPr>
                <w:rFonts w:ascii="Calibri" w:hAnsi="Calibri"/>
                <w:sz w:val="22"/>
              </w:rPr>
              <w:t>Stengel, William P. II</w:t>
            </w:r>
          </w:p>
        </w:tc>
        <w:tc>
          <w:tcPr>
            <w:tcW w:type="dxa" w:w="1234"/>
          </w:tcPr>
          <w:p>
            <w:r>
              <w:rPr>
                <w:rFonts w:ascii="Calibri" w:hAnsi="Calibri"/>
                <w:sz w:val="22"/>
              </w:rPr>
              <w:t>Chairman, President &amp; CEO</w:t>
            </w:r>
          </w:p>
        </w:tc>
        <w:tc>
          <w:tcPr>
            <w:tcW w:type="dxa" w:w="1234"/>
          </w:tcPr>
          <w:p>
            <w:r>
              <w:rPr>
                <w:rFonts w:ascii="Calibri" w:hAnsi="Calibri"/>
                <w:sz w:val="22"/>
              </w:rPr>
              <w:t>May 1, 2026</w:t>
            </w:r>
          </w:p>
        </w:tc>
        <w:tc>
          <w:tcPr>
            <w:tcW w:type="dxa" w:w="1234"/>
          </w:tcPr>
          <w:p>
            <w:r>
              <w:rPr>
                <w:rFonts w:ascii="Calibri" w:hAnsi="Calibri"/>
                <w:sz w:val="22"/>
              </w:rPr>
              <w:t>Award (A) / Tax Withhold (F)</w:t>
            </w:r>
          </w:p>
        </w:tc>
        <w:tc>
          <w:tcPr>
            <w:tcW w:type="dxa" w:w="1234"/>
          </w:tcPr>
          <w:p>
            <w:r>
              <w:rPr>
                <w:rFonts w:ascii="Calibri" w:hAnsi="Calibri"/>
                <w:sz w:val="22"/>
              </w:rPr>
              <w:t>+29,753 / -6,295</w:t>
            </w:r>
          </w:p>
        </w:tc>
        <w:tc>
          <w:tcPr>
            <w:tcW w:type="dxa" w:w="1234"/>
          </w:tcPr>
          <w:p>
            <w:r>
              <w:rPr>
                <w:rFonts w:ascii="Calibri" w:hAnsi="Calibri"/>
                <w:sz w:val="22"/>
              </w:rPr>
              <w:t>Common Stock</w:t>
            </w:r>
          </w:p>
        </w:tc>
        <w:tc>
          <w:tcPr>
            <w:tcW w:type="dxa" w:w="1234"/>
          </w:tcPr>
          <w:p>
            <w:r>
              <w:rPr>
                <w:rFonts w:ascii="Calibri" w:hAnsi="Calibri"/>
                <w:sz w:val="22"/>
              </w:rPr>
              <w:t>No (routine vest)</w:t>
            </w:r>
          </w:p>
        </w:tc>
      </w:tr>
      <w:tr>
        <w:tc>
          <w:tcPr>
            <w:tcW w:type="dxa" w:w="1234"/>
          </w:tcPr>
          <w:p>
            <w:r>
              <w:rPr>
                <w:rFonts w:ascii="Calibri" w:hAnsi="Calibri"/>
                <w:sz w:val="22"/>
              </w:rPr>
              <w:t>Howe, James F.</w:t>
            </w:r>
          </w:p>
        </w:tc>
        <w:tc>
          <w:tcPr>
            <w:tcW w:type="dxa" w:w="1234"/>
          </w:tcPr>
          <w:p>
            <w:r>
              <w:rPr>
                <w:rFonts w:ascii="Calibri" w:hAnsi="Calibri"/>
                <w:sz w:val="22"/>
              </w:rPr>
              <w:t>President, Motion</w:t>
            </w:r>
          </w:p>
        </w:tc>
        <w:tc>
          <w:tcPr>
            <w:tcW w:type="dxa" w:w="1234"/>
          </w:tcPr>
          <w:p>
            <w:r>
              <w:rPr>
                <w:rFonts w:ascii="Calibri" w:hAnsi="Calibri"/>
                <w:sz w:val="22"/>
              </w:rPr>
              <w:t>May 5, 2026</w:t>
            </w:r>
          </w:p>
        </w:tc>
        <w:tc>
          <w:tcPr>
            <w:tcW w:type="dxa" w:w="1234"/>
          </w:tcPr>
          <w:p>
            <w:r>
              <w:rPr>
                <w:rFonts w:ascii="Calibri" w:hAnsi="Calibri"/>
                <w:sz w:val="22"/>
              </w:rPr>
              <w:t>Sale (S)</w:t>
            </w:r>
          </w:p>
        </w:tc>
        <w:tc>
          <w:tcPr>
            <w:tcW w:type="dxa" w:w="1234"/>
          </w:tcPr>
          <w:p>
            <w:r>
              <w:rPr>
                <w:rFonts w:ascii="Calibri" w:hAnsi="Calibri"/>
                <w:sz w:val="22"/>
              </w:rPr>
              <w:t>415</w:t>
            </w:r>
          </w:p>
        </w:tc>
        <w:tc>
          <w:tcPr>
            <w:tcW w:type="dxa" w:w="1234"/>
          </w:tcPr>
          <w:p>
            <w:r>
              <w:rPr>
                <w:rFonts w:ascii="Calibri" w:hAnsi="Calibri"/>
                <w:sz w:val="22"/>
              </w:rPr>
              <w:t>Common Stock</w:t>
            </w:r>
          </w:p>
        </w:tc>
        <w:tc>
          <w:tcPr>
            <w:tcW w:type="dxa" w:w="1234"/>
          </w:tcPr>
          <w:p>
            <w:r>
              <w:rPr>
                <w:rFonts w:ascii="Calibri" w:hAnsi="Calibri"/>
                <w:sz w:val="22"/>
              </w:rPr>
              <w:t>Yes (10b5-1)</w:t>
            </w:r>
          </w:p>
        </w:tc>
      </w:tr>
      <w:tr>
        <w:tc>
          <w:tcPr>
            <w:tcW w:type="dxa" w:w="1234"/>
          </w:tcPr>
          <w:p>
            <w:r>
              <w:rPr>
                <w:rFonts w:ascii="Calibri" w:hAnsi="Calibri"/>
                <w:sz w:val="22"/>
              </w:rPr>
              <w:t>Nappier, Herbert</w:t>
            </w:r>
          </w:p>
        </w:tc>
        <w:tc>
          <w:tcPr>
            <w:tcW w:type="dxa" w:w="1234"/>
          </w:tcPr>
          <w:p>
            <w:r>
              <w:rPr>
                <w:rFonts w:ascii="Calibri" w:hAnsi="Calibri"/>
                <w:sz w:val="22"/>
              </w:rPr>
              <w:t>EVP Finance &amp; CFO</w:t>
            </w:r>
          </w:p>
        </w:tc>
        <w:tc>
          <w:tcPr>
            <w:tcW w:type="dxa" w:w="1234"/>
          </w:tcPr>
          <w:p>
            <w:r>
              <w:rPr>
                <w:rFonts w:ascii="Calibri" w:hAnsi="Calibri"/>
                <w:sz w:val="22"/>
              </w:rPr>
              <w:t>May 1, 2026</w:t>
            </w:r>
          </w:p>
        </w:tc>
        <w:tc>
          <w:tcPr>
            <w:tcW w:type="dxa" w:w="1234"/>
          </w:tcPr>
          <w:p>
            <w:r>
              <w:rPr>
                <w:rFonts w:ascii="Calibri" w:hAnsi="Calibri"/>
                <w:sz w:val="22"/>
              </w:rPr>
              <w:t>Tax Withhold (F)</w:t>
            </w:r>
          </w:p>
        </w:tc>
        <w:tc>
          <w:tcPr>
            <w:tcW w:type="dxa" w:w="1234"/>
          </w:tcPr>
          <w:p>
            <w:r>
              <w:rPr>
                <w:rFonts w:ascii="Calibri" w:hAnsi="Calibri"/>
                <w:sz w:val="22"/>
              </w:rPr>
              <w:t>-887</w:t>
            </w:r>
          </w:p>
        </w:tc>
        <w:tc>
          <w:tcPr>
            <w:tcW w:type="dxa" w:w="1234"/>
          </w:tcPr>
          <w:p>
            <w:r>
              <w:rPr>
                <w:rFonts w:ascii="Calibri" w:hAnsi="Calibri"/>
                <w:sz w:val="22"/>
              </w:rPr>
              <w:t>Common Stock</w:t>
            </w:r>
          </w:p>
        </w:tc>
        <w:tc>
          <w:tcPr>
            <w:tcW w:type="dxa" w:w="1234"/>
          </w:tcPr>
          <w:p>
            <w:r>
              <w:rPr>
                <w:rFonts w:ascii="Calibri" w:hAnsi="Calibri"/>
                <w:sz w:val="22"/>
              </w:rPr>
              <w:t>No (routine vest)</w:t>
            </w:r>
          </w:p>
        </w:tc>
      </w:tr>
      <w:tr>
        <w:tc>
          <w:tcPr>
            <w:tcW w:type="dxa" w:w="1234"/>
          </w:tcPr>
          <w:p>
            <w:r>
              <w:rPr>
                <w:rFonts w:ascii="Calibri" w:hAnsi="Calibri"/>
                <w:sz w:val="22"/>
              </w:rPr>
              <w:t>Hulett, Jennifer</w:t>
            </w:r>
          </w:p>
        </w:tc>
        <w:tc>
          <w:tcPr>
            <w:tcW w:type="dxa" w:w="1234"/>
          </w:tcPr>
          <w:p>
            <w:r>
              <w:rPr>
                <w:rFonts w:ascii="Calibri" w:hAnsi="Calibri"/>
                <w:sz w:val="22"/>
              </w:rPr>
              <w:t>EVP &amp; Chief People Officer</w:t>
            </w:r>
          </w:p>
        </w:tc>
        <w:tc>
          <w:tcPr>
            <w:tcW w:type="dxa" w:w="1234"/>
          </w:tcPr>
          <w:p>
            <w:r>
              <w:rPr>
                <w:rFonts w:ascii="Calibri" w:hAnsi="Calibri"/>
                <w:sz w:val="22"/>
              </w:rPr>
              <w:t>May 1, 2026</w:t>
            </w:r>
          </w:p>
        </w:tc>
        <w:tc>
          <w:tcPr>
            <w:tcW w:type="dxa" w:w="1234"/>
          </w:tcPr>
          <w:p>
            <w:r>
              <w:rPr>
                <w:rFonts w:ascii="Calibri" w:hAnsi="Calibri"/>
                <w:sz w:val="22"/>
              </w:rPr>
              <w:t>Award (A) / Tax Withhold (F)</w:t>
            </w:r>
          </w:p>
        </w:tc>
        <w:tc>
          <w:tcPr>
            <w:tcW w:type="dxa" w:w="1234"/>
          </w:tcPr>
          <w:p>
            <w:r>
              <w:rPr>
                <w:rFonts w:ascii="Calibri" w:hAnsi="Calibri"/>
                <w:sz w:val="22"/>
              </w:rPr>
              <w:t>+4,572 / -418</w:t>
            </w:r>
          </w:p>
        </w:tc>
        <w:tc>
          <w:tcPr>
            <w:tcW w:type="dxa" w:w="1234"/>
          </w:tcPr>
          <w:p>
            <w:r>
              <w:rPr>
                <w:rFonts w:ascii="Calibri" w:hAnsi="Calibri"/>
                <w:sz w:val="22"/>
              </w:rPr>
              <w:t>Common Stock</w:t>
            </w:r>
          </w:p>
        </w:tc>
        <w:tc>
          <w:tcPr>
            <w:tcW w:type="dxa" w:w="1234"/>
          </w:tcPr>
          <w:p>
            <w:r>
              <w:rPr>
                <w:rFonts w:ascii="Calibri" w:hAnsi="Calibri"/>
                <w:sz w:val="22"/>
              </w:rPr>
              <w:t>No (routine vest)</w:t>
            </w:r>
          </w:p>
        </w:tc>
      </w:tr>
      <w:tr>
        <w:tc>
          <w:tcPr>
            <w:tcW w:type="dxa" w:w="1234"/>
          </w:tcPr>
          <w:p>
            <w:r>
              <w:rPr>
                <w:rFonts w:ascii="Calibri" w:hAnsi="Calibri"/>
                <w:sz w:val="22"/>
              </w:rPr>
              <w:t>Masse, Alain</w:t>
            </w:r>
          </w:p>
        </w:tc>
        <w:tc>
          <w:tcPr>
            <w:tcW w:type="dxa" w:w="1234"/>
          </w:tcPr>
          <w:p>
            <w:r>
              <w:rPr>
                <w:rFonts w:ascii="Calibri" w:hAnsi="Calibri"/>
                <w:sz w:val="22"/>
              </w:rPr>
              <w:t>President, N.A. Automotive</w:t>
            </w:r>
          </w:p>
        </w:tc>
        <w:tc>
          <w:tcPr>
            <w:tcW w:type="dxa" w:w="1234"/>
          </w:tcPr>
          <w:p>
            <w:r>
              <w:rPr>
                <w:rFonts w:ascii="Calibri" w:hAnsi="Calibri"/>
                <w:sz w:val="22"/>
              </w:rPr>
              <w:t>May 1, 2026</w:t>
            </w:r>
          </w:p>
        </w:tc>
        <w:tc>
          <w:tcPr>
            <w:tcW w:type="dxa" w:w="1234"/>
          </w:tcPr>
          <w:p>
            <w:r>
              <w:rPr>
                <w:rFonts w:ascii="Calibri" w:hAnsi="Calibri"/>
                <w:sz w:val="22"/>
              </w:rPr>
              <w:t>Tax Withhold (F)</w:t>
            </w:r>
          </w:p>
        </w:tc>
        <w:tc>
          <w:tcPr>
            <w:tcW w:type="dxa" w:w="1234"/>
          </w:tcPr>
          <w:p>
            <w:r>
              <w:rPr>
                <w:rFonts w:ascii="Calibri" w:hAnsi="Calibri"/>
                <w:sz w:val="22"/>
              </w:rPr>
              <w:t>-273</w:t>
            </w:r>
          </w:p>
        </w:tc>
        <w:tc>
          <w:tcPr>
            <w:tcW w:type="dxa" w:w="1234"/>
          </w:tcPr>
          <w:p>
            <w:r>
              <w:rPr>
                <w:rFonts w:ascii="Calibri" w:hAnsi="Calibri"/>
                <w:sz w:val="22"/>
              </w:rPr>
              <w:t>Common Stock</w:t>
            </w:r>
          </w:p>
        </w:tc>
        <w:tc>
          <w:tcPr>
            <w:tcW w:type="dxa" w:w="1234"/>
          </w:tcPr>
          <w:p>
            <w:r>
              <w:rPr>
                <w:rFonts w:ascii="Calibri" w:hAnsi="Calibri"/>
                <w:sz w:val="22"/>
              </w:rPr>
              <w:t>No (routine vest)</w:t>
            </w:r>
          </w:p>
        </w:tc>
      </w:tr>
      <w:tr>
        <w:tc>
          <w:tcPr>
            <w:tcW w:type="dxa" w:w="1234"/>
          </w:tcPr>
          <w:p>
            <w:r>
              <w:rPr>
                <w:rFonts w:ascii="Calibri" w:hAnsi="Calibri"/>
                <w:sz w:val="22"/>
              </w:rPr>
              <w:t>Multiple Directors</w:t>
            </w:r>
          </w:p>
        </w:tc>
        <w:tc>
          <w:tcPr>
            <w:tcW w:type="dxa" w:w="1234"/>
          </w:tcPr>
          <w:p>
            <w:r>
              <w:rPr>
                <w:rFonts w:ascii="Calibri" w:hAnsi="Calibri"/>
                <w:sz w:val="22"/>
              </w:rPr>
              <w:t>Board Directors (6 individuals)</w:t>
            </w:r>
          </w:p>
        </w:tc>
        <w:tc>
          <w:tcPr>
            <w:tcW w:type="dxa" w:w="1234"/>
          </w:tcPr>
          <w:p>
            <w:r>
              <w:rPr>
                <w:rFonts w:ascii="Calibri" w:hAnsi="Calibri"/>
                <w:sz w:val="22"/>
              </w:rPr>
              <w:t>May 1–3, 2026</w:t>
            </w:r>
          </w:p>
        </w:tc>
        <w:tc>
          <w:tcPr>
            <w:tcW w:type="dxa" w:w="1234"/>
          </w:tcPr>
          <w:p>
            <w:r>
              <w:rPr>
                <w:rFonts w:ascii="Calibri" w:hAnsi="Calibri"/>
                <w:sz w:val="22"/>
              </w:rPr>
              <w:t>RSU Vest (M) / Tax Withhold (F)</w:t>
            </w:r>
          </w:p>
        </w:tc>
        <w:tc>
          <w:tcPr>
            <w:tcW w:type="dxa" w:w="1234"/>
          </w:tcPr>
          <w:p>
            <w:r>
              <w:rPr>
                <w:rFonts w:ascii="Calibri" w:hAnsi="Calibri"/>
                <w:sz w:val="22"/>
              </w:rPr>
              <w:t>+1,673 / -455 each</w:t>
            </w:r>
          </w:p>
        </w:tc>
        <w:tc>
          <w:tcPr>
            <w:tcW w:type="dxa" w:w="1234"/>
          </w:tcPr>
          <w:p>
            <w:r>
              <w:rPr>
                <w:rFonts w:ascii="Calibri" w:hAnsi="Calibri"/>
                <w:sz w:val="22"/>
              </w:rPr>
              <w:t>Common Stock / RSUs</w:t>
            </w:r>
          </w:p>
        </w:tc>
        <w:tc>
          <w:tcPr>
            <w:tcW w:type="dxa" w:w="1234"/>
          </w:tcPr>
          <w:p>
            <w:r>
              <w:rPr>
                <w:rFonts w:ascii="Calibri" w:hAnsi="Calibri"/>
                <w:sz w:val="22"/>
              </w:rPr>
              <w:t>No (routine vest)</w:t>
            </w:r>
          </w:p>
        </w:tc>
      </w:tr>
      <w:tr>
        <w:tc>
          <w:tcPr>
            <w:tcW w:type="dxa" w:w="1234"/>
          </w:tcPr>
          <w:p>
            <w:r>
              <w:rPr>
                <w:rFonts w:ascii="Calibri" w:hAnsi="Calibri"/>
                <w:sz w:val="22"/>
              </w:rPr>
              <w:t>Cox, Richard JR / Pryor, Juliette</w:t>
            </w:r>
          </w:p>
        </w:tc>
        <w:tc>
          <w:tcPr>
            <w:tcW w:type="dxa" w:w="1234"/>
          </w:tcPr>
          <w:p>
            <w:r>
              <w:rPr>
                <w:rFonts w:ascii="Calibri" w:hAnsi="Calibri"/>
                <w:sz w:val="22"/>
              </w:rPr>
              <w:t>Directors</w:t>
            </w:r>
          </w:p>
        </w:tc>
        <w:tc>
          <w:tcPr>
            <w:tcW w:type="dxa" w:w="1234"/>
          </w:tcPr>
          <w:p>
            <w:r>
              <w:rPr>
                <w:rFonts w:ascii="Calibri" w:hAnsi="Calibri"/>
                <w:sz w:val="22"/>
              </w:rPr>
              <w:t>Jul 2, 2026</w:t>
            </w:r>
          </w:p>
        </w:tc>
        <w:tc>
          <w:tcPr>
            <w:tcW w:type="dxa" w:w="1234"/>
          </w:tcPr>
          <w:p>
            <w:r>
              <w:rPr>
                <w:rFonts w:ascii="Calibri" w:hAnsi="Calibri"/>
                <w:sz w:val="22"/>
              </w:rPr>
              <w:t>Award (A) — Phantom Stock</w:t>
            </w:r>
          </w:p>
        </w:tc>
        <w:tc>
          <w:tcPr>
            <w:tcW w:type="dxa" w:w="1234"/>
          </w:tcPr>
          <w:p>
            <w:r>
              <w:rPr>
                <w:rFonts w:ascii="Calibri" w:hAnsi="Calibri"/>
                <w:sz w:val="22"/>
              </w:rPr>
              <w:t>+211 / +263</w:t>
            </w:r>
          </w:p>
        </w:tc>
        <w:tc>
          <w:tcPr>
            <w:tcW w:type="dxa" w:w="1234"/>
          </w:tcPr>
          <w:p>
            <w:r>
              <w:rPr>
                <w:rFonts w:ascii="Calibri" w:hAnsi="Calibri"/>
                <w:sz w:val="22"/>
              </w:rPr>
              <w:t>Phantom Stock</w:t>
            </w:r>
          </w:p>
        </w:tc>
        <w:tc>
          <w:tcPr>
            <w:tcW w:type="dxa" w:w="1234"/>
          </w:tcPr>
          <w:p>
            <w:r>
              <w:rPr>
                <w:rFonts w:ascii="Calibri" w:hAnsi="Calibri"/>
                <w:sz w:val="22"/>
              </w:rPr>
              <w:t>No (routine director comp)</w:t>
            </w:r>
          </w:p>
        </w:tc>
      </w:tr>
    </w:tbl>
    <w:p>
      <w:r>
        <w:rPr>
          <w:rFonts w:ascii="Calibri" w:hAnsi="Calibri"/>
          <w:i/>
          <w:color w:val="525866"/>
          <w:sz w:val="22"/>
        </w:rPr>
        <w:t xml:space="preserve">Source: SEC Form 4 Filings (Insider Transaction Data). </w:t>
      </w:r>
      <w:r>
        <w:rPr>
          <w:rFonts w:ascii="Calibri" w:hAnsi="Calibri"/>
          <w:i/>
          <w:color w:val="525866"/>
          <w:sz w:val="22"/>
        </w:rPr>
        <w:t>No discretionary open-market purchases were recorded in the period. The only outright sale (Galla, Jun 26) was executed under a pre-established 10b5-1 plan and is not a directional signal. All other transactions are routine equity award vesting and associated tax withholding.</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