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Genuine Parts Company (GPC)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Genuine Parts Company</w:t>
            </w:r>
          </w:p>
        </w:tc>
      </w:tr>
      <w:tr>
        <w:tc>
          <w:tcPr>
            <w:tcW w:type="dxa" w:w="4320"/>
          </w:tcPr>
          <w:p>
            <w:r>
              <w:rPr>
                <w:rFonts w:ascii="Calibri" w:hAnsi="Calibri"/>
                <w:b/>
                <w:sz w:val="22"/>
              </w:rPr>
              <w:t>Ticker</w:t>
            </w:r>
          </w:p>
        </w:tc>
        <w:tc>
          <w:tcPr>
            <w:tcW w:type="dxa" w:w="4320"/>
          </w:tcPr>
          <w:p>
            <w:r>
              <w:rPr>
                <w:rFonts w:ascii="Calibri" w:hAnsi="Calibri"/>
                <w:sz w:val="22"/>
              </w:rPr>
              <w:t>GPC US</w:t>
            </w:r>
          </w:p>
        </w:tc>
      </w:tr>
      <w:tr>
        <w:tc>
          <w:tcPr>
            <w:tcW w:type="dxa" w:w="4320"/>
          </w:tcPr>
          <w:p>
            <w:r>
              <w:rPr>
                <w:rFonts w:ascii="Calibri" w:hAnsi="Calibri"/>
                <w:b/>
                <w:sz w:val="22"/>
              </w:rPr>
              <w:t>Upcoming Earnings Date</w:t>
            </w:r>
          </w:p>
        </w:tc>
        <w:tc>
          <w:tcPr>
            <w:tcW w:type="dxa" w:w="4320"/>
          </w:tcPr>
          <w:p>
            <w:r>
              <w:rPr>
                <w:rFonts w:ascii="Calibri" w:hAnsi="Calibri"/>
                <w:sz w:val="22"/>
              </w:rPr>
              <w:t>July 21, 2026 (Pre-Market,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20, 2026</w:t>
            </w:r>
          </w:p>
        </w:tc>
      </w:tr>
      <w:tr>
        <w:tc>
          <w:tcPr>
            <w:tcW w:type="dxa" w:w="4320"/>
          </w:tcPr>
          <w:p>
            <w:r>
              <w:rPr>
                <w:rFonts w:ascii="Calibri" w:hAnsi="Calibri"/>
                <w:b/>
                <w:sz w:val="22"/>
              </w:rPr>
              <w:t>Sector ETF Benchmark</w:t>
            </w:r>
          </w:p>
        </w:tc>
        <w:tc>
          <w:tcPr>
            <w:tcW w:type="dxa" w:w="4320"/>
          </w:tcPr>
          <w:p>
            <w:r>
              <w:rPr>
                <w:rFonts w:ascii="Calibri" w:hAnsi="Calibri"/>
                <w:sz w:val="22"/>
              </w:rPr>
              <w:t>XLY (Consumer Discretionary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Setup is mixed-to-cautiously-constructive — consensus is a manageable bar, but the single biggest swing factor is whether Iran-related freight and fuel headwinds in Q2 came in at the low or high end of management's $10–20M EBITDA downside range.</w:t>
      </w:r>
    </w:p>
    <w:p>
      <w:r>
        <w:rPr>
          <w:rFonts w:ascii="Calibri" w:hAnsi="Calibri"/>
          <w:color w:val="525866"/>
          <w:sz w:val="22"/>
        </w:rPr>
        <w:t xml:space="preserve">Heading into GPC's Q2 2026 print, the bar looks achievable but not easy. Consensus sits at </w:t>
      </w:r>
      <w:r>
        <w:rPr>
          <w:rFonts w:ascii="Calibri" w:hAnsi="Calibri"/>
          <w:b/>
          <w:color w:val="525866"/>
          <w:sz w:val="22"/>
        </w:rPr>
        <w:t>$2.07 adjusted EPS</w:t>
      </w:r>
      <w:r>
        <w:rPr>
          <w:rFonts w:ascii="Calibri" w:hAnsi="Calibri"/>
          <w:color w:val="525866"/>
          <w:sz w:val="22"/>
        </w:rPr>
        <w:t xml:space="preserve"> and </w:t>
      </w:r>
      <w:r>
        <w:rPr>
          <w:rFonts w:ascii="Calibri" w:hAnsi="Calibri"/>
          <w:b/>
          <w:color w:val="525866"/>
          <w:sz w:val="22"/>
        </w:rPr>
        <w:t>$6.43B revenue</w:t>
      </w:r>
      <w:r>
        <w:rPr>
          <w:rFonts w:ascii="Calibri" w:hAnsi="Calibri"/>
          <w:color w:val="525866"/>
          <w:sz w:val="22"/>
        </w:rPr>
        <w:t xml:space="preserve">, implying roughly 2.9% comparable sales growth — a step down from Q1's 2.4% reported comp but consistent with management's guidance that core revenue growth would be "pretty steady" while the 320 bps FX tailwind from Q1 would not repeat. Management reaffirmed full-year guidance on the Q1 call despite beating internal expectations, explicitly flagging Q2 as the quarter most exposed to Iran conflict costs (freight-in, freight-out, fuel), and estimates have drifted only modestly higher since the April 21 print, suggesting the street is largely aligned with the cautious tone rather than pricing in upside. The stock has had a dramatic ride since last earnings — falling from $115 to a trough near $93 in mid-May before surging to $133 on July 2 on Bloomberg reports of an O'Reilly bid for the NAPA auto parts unit (~$10B), then settling back to ~$122 — meaning the stock is now pricing in meaningful strategic optionality that did not exist at the last print. </w:t>
      </w:r>
      <w:r>
        <w:rPr>
          <w:rFonts w:ascii="Calibri" w:hAnsi="Calibri"/>
          <w:b/>
          <w:color w:val="525866"/>
          <w:sz w:val="22"/>
        </w:rPr>
        <w:t>The wildcard is the O'Reilly/NAPA deal process</w:t>
      </w:r>
      <w:r>
        <w:rPr>
          <w:rFonts w:ascii="Calibri" w:hAnsi="Calibri"/>
          <w:color w:val="525866"/>
          <w:sz w:val="22"/>
        </w:rPr>
        <w:t>: any update on the strategic review, timeline, or valuation framework on the Q2 call could move the stock more than the underlying operating results.</w:t>
      </w:r>
    </w:p>
    <w:p>
      <w:pPr>
        <w:pStyle w:val="ListBullet"/>
        <w:ind w:left="360" w:hanging="360"/>
      </w:pPr>
      <w:r>
        <w:rPr>
          <w:rFonts w:ascii="Calibri" w:hAnsi="Calibri"/>
          <w:b/>
          <w:color w:val="525866"/>
          <w:sz w:val="22"/>
        </w:rPr>
        <w:t xml:space="preserve">Bar: </w:t>
      </w:r>
      <w:r>
        <w:rPr>
          <w:rFonts w:ascii="Calibri" w:hAnsi="Calibri"/>
          <w:color w:val="525866"/>
          <w:sz w:val="22"/>
        </w:rPr>
        <w:t>Consensus adjusted EPS of $2.07 is a modest step-up from Q1's $1.77 actual, consistent with seasonal patterns and management's own guidance framework. The bar is not stretched — estimates have risen only ~$0.03 since the post-Q1 baseline, suggesting limited risk of a consensus-driven miss.</w:t>
      </w:r>
    </w:p>
    <w:p>
      <w:pPr>
        <w:pStyle w:val="ListBullet"/>
        <w:ind w:left="360" w:hanging="360"/>
      </w:pPr>
      <w:r>
        <w:rPr>
          <w:rFonts w:ascii="Calibri" w:hAnsi="Calibri"/>
          <w:b/>
          <w:color w:val="525866"/>
          <w:sz w:val="22"/>
        </w:rPr>
        <w:t xml:space="preserve">Guidance/Tone: </w:t>
      </w:r>
      <w:r>
        <w:rPr>
          <w:rFonts w:ascii="Calibri" w:hAnsi="Calibri"/>
          <w:color w:val="525866"/>
          <w:sz w:val="22"/>
        </w:rPr>
        <w:t>Management's posture on the Q1 call was deliberately cautious — reaffirming full-year guidance despite a Q1 beat, citing Iran uncertainty concentrated in Q2. No post-earnings guidance revision has been issued, leaving the full-year adjusted EPS range of $7.50–$8.00 intact.</w:t>
      </w:r>
    </w:p>
    <w:p>
      <w:pPr>
        <w:pStyle w:val="ListBullet"/>
        <w:ind w:left="360" w:hanging="360"/>
      </w:pPr>
      <w:r>
        <w:rPr>
          <w:rFonts w:ascii="Calibri" w:hAnsi="Calibri"/>
          <w:b/>
          <w:color w:val="525866"/>
          <w:sz w:val="22"/>
        </w:rPr>
        <w:t xml:space="preserve">Estimate Trajectory: </w:t>
      </w:r>
      <w:r>
        <w:rPr>
          <w:rFonts w:ascii="Calibri" w:hAnsi="Calibri"/>
          <w:color w:val="525866"/>
          <w:sz w:val="22"/>
        </w:rPr>
        <w:t>Estimates have drifted slightly higher since the Q1 print (Q2 EPS: $2.04 → $2.07; FY EPS: $7.72 → $7.73), tracking guidance rather than diverging. The gap between consensus and guidance midpoint is narrow, providing limited cushion but also limited downside risk from estimate cuts.</w:t>
      </w:r>
    </w:p>
    <w:p>
      <w:pPr>
        <w:pStyle w:val="ListBullet"/>
        <w:ind w:left="360" w:hanging="360"/>
      </w:pPr>
      <w:r>
        <w:rPr>
          <w:rFonts w:ascii="Calibri" w:hAnsi="Calibri"/>
          <w:b/>
          <w:color w:val="525866"/>
          <w:sz w:val="22"/>
        </w:rPr>
        <w:t xml:space="preserve">Stock Setup: </w:t>
      </w:r>
      <w:r>
        <w:rPr>
          <w:rFonts w:ascii="Calibri" w:hAnsi="Calibri"/>
          <w:color w:val="525866"/>
          <w:sz w:val="22"/>
        </w:rPr>
        <w:t>GPC trades at ~15.4x NTM P/E, an ~9% premium to the auto parts peer group average. The stock is up ~6.4% since last earnings (vs. XLY -3.7%, SPY +5.4%), but the July 2 O'Reilly bid report drove a ~13% single-day spike that has since partially retraced. The multiple reflects strategic optionality, not operating momentum.</w:t>
      </w:r>
    </w:p>
    <w:p>
      <w:pPr>
        <w:pStyle w:val="ListBullet"/>
        <w:ind w:left="360" w:hanging="360"/>
      </w:pPr>
      <w:r>
        <w:rPr>
          <w:rFonts w:ascii="Calibri" w:hAnsi="Calibri"/>
          <w:b/>
          <w:color w:val="525866"/>
          <w:sz w:val="22"/>
        </w:rPr>
        <w:t xml:space="preserve">Wildcard: </w:t>
      </w:r>
      <w:r>
        <w:rPr>
          <w:rFonts w:ascii="Calibri" w:hAnsi="Calibri"/>
          <w:color w:val="525866"/>
          <w:sz w:val="22"/>
        </w:rPr>
        <w:t>The O'Reilly bid for the NAPA auto parts business (~$10B reported). Any management commentary on the strategic review process, timeline, or competing interest could dominate the earnings call narrative and overshadow the operating results entirely.</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revenue and comps, but </w:t>
      </w:r>
      <w:r>
        <w:rPr>
          <w:rFonts w:ascii="Calibri" w:hAnsi="Calibri"/>
          <w:b/>
          <w:color w:val="525866"/>
          <w:sz w:val="22"/>
        </w:rPr>
        <w:t>EBITDA margin is the bigger swing factor</w:t>
      </w:r>
      <w:r>
        <w:rPr>
          <w:rFonts w:ascii="Calibri" w:hAnsi="Calibri"/>
          <w:color w:val="525866"/>
          <w:sz w:val="22"/>
        </w:rPr>
        <w:t xml:space="preserve"> — the Iran freight/fuel headwind is the key unknown, and any margin upside vs. the 8.66% consensus would be the most positive signal for the full-year setup.</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$6.265B</w:t>
            </w:r>
          </w:p>
        </w:tc>
        <w:tc>
          <w:tcPr>
            <w:tcW w:type="dxa" w:w="1234"/>
          </w:tcPr>
          <w:p>
            <w:r>
              <w:rPr>
                <w:rFonts w:ascii="Calibri" w:hAnsi="Calibri"/>
                <w:sz w:val="22"/>
              </w:rPr>
              <w:t>$6.164B</w:t>
            </w:r>
          </w:p>
        </w:tc>
        <w:tc>
          <w:tcPr>
            <w:tcW w:type="dxa" w:w="1234"/>
          </w:tcPr>
          <w:p>
            <w:r>
              <w:rPr>
                <w:rFonts w:ascii="Calibri" w:hAnsi="Calibri"/>
                <w:sz w:val="22"/>
              </w:rPr>
              <w:t>$6.433B</w:t>
            </w:r>
          </w:p>
        </w:tc>
        <w:tc>
          <w:tcPr>
            <w:tcW w:type="dxa" w:w="1234"/>
          </w:tcPr>
          <w:p>
            <w:r>
              <w:rPr>
                <w:rFonts w:ascii="Calibri" w:hAnsi="Calibri"/>
                <w:sz w:val="22"/>
              </w:rPr>
              <w:t>+4.4%</w:t>
            </w:r>
          </w:p>
        </w:tc>
        <w:tc>
          <w:tcPr>
            <w:tcW w:type="dxa" w:w="1234"/>
          </w:tcPr>
          <w:p>
            <w:r>
              <w:rPr>
                <w:rFonts w:ascii="Calibri" w:hAnsi="Calibri"/>
                <w:sz w:val="22"/>
              </w:rPr>
              <w:t>+3% to +5.5% total sales growth</w:t>
            </w:r>
          </w:p>
        </w:tc>
        <w:tc>
          <w:tcPr>
            <w:tcW w:type="dxa" w:w="1234"/>
          </w:tcPr>
          <w:p>
            <w:r>
              <w:rPr>
                <w:rFonts w:ascii="Calibri" w:hAnsi="Calibri"/>
                <w:sz w:val="22"/>
              </w:rPr>
              <w:t>~+1.8% above midpoint</w:t>
            </w:r>
          </w:p>
        </w:tc>
      </w:tr>
      <w:tr>
        <w:tc>
          <w:tcPr>
            <w:tcW w:type="dxa" w:w="1234"/>
          </w:tcPr>
          <w:p>
            <w:r>
              <w:rPr>
                <w:rFonts w:ascii="Calibri" w:hAnsi="Calibri"/>
                <w:sz w:val="22"/>
              </w:rPr>
              <w:t>Adj. Diluted EPS ($)</w:t>
            </w:r>
          </w:p>
        </w:tc>
        <w:tc>
          <w:tcPr>
            <w:tcW w:type="dxa" w:w="1234"/>
          </w:tcPr>
          <w:p>
            <w:r>
              <w:rPr>
                <w:rFonts w:ascii="Calibri" w:hAnsi="Calibri"/>
                <w:sz w:val="22"/>
              </w:rPr>
              <w:t>$1.77</w:t>
            </w:r>
          </w:p>
        </w:tc>
        <w:tc>
          <w:tcPr>
            <w:tcW w:type="dxa" w:w="1234"/>
          </w:tcPr>
          <w:p>
            <w:r>
              <w:rPr>
                <w:rFonts w:ascii="Calibri" w:hAnsi="Calibri"/>
                <w:sz w:val="22"/>
              </w:rPr>
              <w:t>$2.10</w:t>
            </w:r>
          </w:p>
        </w:tc>
        <w:tc>
          <w:tcPr>
            <w:tcW w:type="dxa" w:w="1234"/>
          </w:tcPr>
          <w:p>
            <w:r>
              <w:rPr>
                <w:rFonts w:ascii="Calibri" w:hAnsi="Calibri"/>
                <w:sz w:val="22"/>
              </w:rPr>
              <w:t>$2.07</w:t>
            </w:r>
          </w:p>
        </w:tc>
        <w:tc>
          <w:tcPr>
            <w:tcW w:type="dxa" w:w="1234"/>
          </w:tcPr>
          <w:p>
            <w:r>
              <w:rPr>
                <w:rFonts w:ascii="Calibri" w:hAnsi="Calibri"/>
                <w:sz w:val="22"/>
              </w:rPr>
              <w:t>-1.4%</w:t>
            </w:r>
          </w:p>
        </w:tc>
        <w:tc>
          <w:tcPr>
            <w:tcW w:type="dxa" w:w="1234"/>
          </w:tcPr>
          <w:p>
            <w:r>
              <w:rPr>
                <w:rFonts w:ascii="Calibri" w:hAnsi="Calibri"/>
                <w:sz w:val="22"/>
              </w:rPr>
              <w:t>$7.50–$8.00 FY adj. EPS</w:t>
            </w:r>
          </w:p>
        </w:tc>
        <w:tc>
          <w:tcPr>
            <w:tcW w:type="dxa" w:w="1234"/>
          </w:tcPr>
          <w:p>
            <w:r>
              <w:rPr>
                <w:rFonts w:ascii="Calibri" w:hAnsi="Calibri"/>
                <w:sz w:val="22"/>
              </w:rPr>
              <w:t>~$0.07 below FY midpoint pace</w:t>
            </w:r>
          </w:p>
        </w:tc>
      </w:tr>
      <w:tr>
        <w:tc>
          <w:tcPr>
            <w:tcW w:type="dxa" w:w="1234"/>
          </w:tcPr>
          <w:p>
            <w:r>
              <w:rPr>
                <w:rFonts w:ascii="Calibri" w:hAnsi="Calibri"/>
                <w:sz w:val="22"/>
              </w:rPr>
              <w:t>Comparable Sales Growth — Total (%)</w:t>
            </w:r>
          </w:p>
        </w:tc>
        <w:tc>
          <w:tcPr>
            <w:tcW w:type="dxa" w:w="1234"/>
          </w:tcPr>
          <w:p>
            <w:r>
              <w:rPr>
                <w:rFonts w:ascii="Calibri" w:hAnsi="Calibri"/>
                <w:sz w:val="22"/>
              </w:rPr>
              <w:t>+2.4%</w:t>
            </w:r>
          </w:p>
        </w:tc>
        <w:tc>
          <w:tcPr>
            <w:tcW w:type="dxa" w:w="1234"/>
          </w:tcPr>
          <w:p>
            <w:r>
              <w:rPr>
                <w:rFonts w:ascii="Calibri" w:hAnsi="Calibri"/>
                <w:sz w:val="22"/>
              </w:rPr>
              <w:t>+0.2%</w:t>
            </w:r>
          </w:p>
        </w:tc>
        <w:tc>
          <w:tcPr>
            <w:tcW w:type="dxa" w:w="1234"/>
          </w:tcPr>
          <w:p>
            <w:r>
              <w:rPr>
                <w:rFonts w:ascii="Calibri" w:hAnsi="Calibri"/>
                <w:sz w:val="22"/>
              </w:rPr>
              <w:t>+2.9%</w:t>
            </w:r>
          </w:p>
        </w:tc>
        <w:tc>
          <w:tcPr>
            <w:tcW w:type="dxa" w:w="1234"/>
          </w:tcPr>
          <w:p>
            <w:r>
              <w:rPr>
                <w:rFonts w:ascii="Calibri" w:hAnsi="Calibri"/>
                <w:sz w:val="22"/>
              </w:rPr>
              <w:t>+270 bps YoY</w:t>
            </w:r>
          </w:p>
        </w:tc>
        <w:tc>
          <w:tcPr>
            <w:tcW w:type="dxa" w:w="1234"/>
          </w:tcPr>
          <w:p>
            <w:r>
              <w:rPr>
                <w:rFonts w:ascii="Calibri" w:hAnsi="Calibri"/>
                <w:sz w:val="22"/>
              </w:rPr>
              <w:t>~Flat market; ~2% pricing benefit</w:t>
            </w:r>
          </w:p>
        </w:tc>
        <w:tc>
          <w:tcPr>
            <w:tcW w:type="dxa" w:w="1234"/>
          </w:tcPr>
          <w:p>
            <w:r>
              <w:rPr>
                <w:rFonts w:ascii="Calibri" w:hAnsi="Calibri"/>
                <w:sz w:val="22"/>
              </w:rPr>
              <w:t>In line with guidance</w:t>
            </w:r>
          </w:p>
        </w:tc>
      </w:tr>
      <w:tr>
        <w:tc>
          <w:tcPr>
            <w:tcW w:type="dxa" w:w="1234"/>
          </w:tcPr>
          <w:p>
            <w:r>
              <w:rPr>
                <w:rFonts w:ascii="Calibri" w:hAnsi="Calibri"/>
                <w:sz w:val="22"/>
              </w:rPr>
              <w:t>Comparable Sales Growth — Automotive (%)</w:t>
            </w:r>
          </w:p>
        </w:tc>
        <w:tc>
          <w:tcPr>
            <w:tcW w:type="dxa" w:w="1234"/>
          </w:tcPr>
          <w:p>
            <w:r>
              <w:rPr>
                <w:rFonts w:ascii="Calibri" w:hAnsi="Calibri"/>
                <w:sz w:val="22"/>
              </w:rPr>
              <w:t>+1.7%</w:t>
            </w:r>
          </w:p>
        </w:tc>
        <w:tc>
          <w:tcPr>
            <w:tcW w:type="dxa" w:w="1234"/>
          </w:tcPr>
          <w:p>
            <w:r>
              <w:rPr>
                <w:rFonts w:ascii="Calibri" w:hAnsi="Calibri"/>
                <w:sz w:val="22"/>
              </w:rPr>
              <w:t>+0.4%</w:t>
            </w:r>
          </w:p>
        </w:tc>
        <w:tc>
          <w:tcPr>
            <w:tcW w:type="dxa" w:w="1234"/>
          </w:tcPr>
          <w:p>
            <w:r>
              <w:rPr>
                <w:rFonts w:ascii="Calibri" w:hAnsi="Calibri"/>
                <w:sz w:val="22"/>
              </w:rPr>
              <w:t>+2.0%</w:t>
            </w:r>
          </w:p>
        </w:tc>
        <w:tc>
          <w:tcPr>
            <w:tcW w:type="dxa" w:w="1234"/>
          </w:tcPr>
          <w:p>
            <w:r>
              <w:rPr>
                <w:rFonts w:ascii="Calibri" w:hAnsi="Calibri"/>
                <w:sz w:val="22"/>
              </w:rPr>
              <w:t>+160 bps YoY</w:t>
            </w:r>
          </w:p>
        </w:tc>
        <w:tc>
          <w:tcPr>
            <w:tcW w:type="dxa" w:w="1234"/>
          </w:tcPr>
          <w:p>
            <w:r>
              <w:rPr>
                <w:rFonts w:ascii="Calibri" w:hAnsi="Calibri"/>
                <w:sz w:val="22"/>
              </w:rPr>
              <w:t>NA Auto: +3% to +5%; Intl Auto: +3% to +6%</w:t>
            </w:r>
          </w:p>
        </w:tc>
        <w:tc>
          <w:tcPr>
            <w:tcW w:type="dxa" w:w="1234"/>
          </w:tcPr>
          <w:p>
            <w:r>
              <w:rPr>
                <w:rFonts w:ascii="Calibri" w:hAnsi="Calibri"/>
                <w:sz w:val="22"/>
              </w:rPr>
              <w:t>Below segment guidance midpoint</w:t>
            </w:r>
          </w:p>
        </w:tc>
      </w:tr>
      <w:tr>
        <w:tc>
          <w:tcPr>
            <w:tcW w:type="dxa" w:w="1234"/>
          </w:tcPr>
          <w:p>
            <w:r>
              <w:rPr>
                <w:rFonts w:ascii="Calibri" w:hAnsi="Calibri"/>
                <w:sz w:val="22"/>
              </w:rPr>
              <w:t>Comparable Sales Growth — Industrial (%)</w:t>
            </w:r>
          </w:p>
        </w:tc>
        <w:tc>
          <w:tcPr>
            <w:tcW w:type="dxa" w:w="1234"/>
          </w:tcPr>
          <w:p>
            <w:r>
              <w:rPr>
                <w:rFonts w:ascii="Calibri" w:hAnsi="Calibri"/>
                <w:sz w:val="22"/>
              </w:rPr>
              <w:t>+3.9%</w:t>
            </w:r>
          </w:p>
        </w:tc>
        <w:tc>
          <w:tcPr>
            <w:tcW w:type="dxa" w:w="1234"/>
          </w:tcPr>
          <w:p>
            <w:r>
              <w:rPr>
                <w:rFonts w:ascii="Calibri" w:hAnsi="Calibri"/>
                <w:sz w:val="22"/>
              </w:rPr>
              <w:t>-0.1%</w:t>
            </w:r>
          </w:p>
        </w:tc>
        <w:tc>
          <w:tcPr>
            <w:tcW w:type="dxa" w:w="1234"/>
          </w:tcPr>
          <w:p>
            <w:r>
              <w:rPr>
                <w:rFonts w:ascii="Calibri" w:hAnsi="Calibri"/>
                <w:sz w:val="22"/>
              </w:rPr>
              <w:t>+4.4%</w:t>
            </w:r>
          </w:p>
        </w:tc>
        <w:tc>
          <w:tcPr>
            <w:tcW w:type="dxa" w:w="1234"/>
          </w:tcPr>
          <w:p>
            <w:r>
              <w:rPr>
                <w:rFonts w:ascii="Calibri" w:hAnsi="Calibri"/>
                <w:sz w:val="22"/>
              </w:rPr>
              <w:t>+450 bps YoY</w:t>
            </w:r>
          </w:p>
        </w:tc>
        <w:tc>
          <w:tcPr>
            <w:tcW w:type="dxa" w:w="1234"/>
          </w:tcPr>
          <w:p>
            <w:r>
              <w:rPr>
                <w:rFonts w:ascii="Calibri" w:hAnsi="Calibri"/>
                <w:sz w:val="22"/>
              </w:rPr>
              <w:t>Industrial: +3% to +6%</w:t>
            </w:r>
          </w:p>
        </w:tc>
        <w:tc>
          <w:tcPr>
            <w:tcW w:type="dxa" w:w="1234"/>
          </w:tcPr>
          <w:p>
            <w:r>
              <w:rPr>
                <w:rFonts w:ascii="Calibri" w:hAnsi="Calibri"/>
                <w:sz w:val="22"/>
              </w:rPr>
              <w:t>In line with guidance midpoint</w:t>
            </w:r>
          </w:p>
        </w:tc>
      </w:tr>
      <w:tr>
        <w:tc>
          <w:tcPr>
            <w:tcW w:type="dxa" w:w="1234"/>
          </w:tcPr>
          <w:p>
            <w:r>
              <w:rPr>
                <w:rFonts w:ascii="Calibri" w:hAnsi="Calibri"/>
                <w:sz w:val="22"/>
              </w:rPr>
              <w:t>Operating EBITDA Margin (%)</w:t>
            </w:r>
          </w:p>
        </w:tc>
        <w:tc>
          <w:tcPr>
            <w:tcW w:type="dxa" w:w="1234"/>
          </w:tcPr>
          <w:p>
            <w:r>
              <w:rPr>
                <w:rFonts w:ascii="Calibri" w:hAnsi="Calibri"/>
                <w:sz w:val="22"/>
              </w:rPr>
              <w:t>7.91%</w:t>
            </w:r>
          </w:p>
        </w:tc>
        <w:tc>
          <w:tcPr>
            <w:tcW w:type="dxa" w:w="1234"/>
          </w:tcPr>
          <w:p>
            <w:r>
              <w:rPr>
                <w:rFonts w:ascii="Calibri" w:hAnsi="Calibri"/>
                <w:sz w:val="22"/>
              </w:rPr>
              <w:t>8.88%</w:t>
            </w:r>
          </w:p>
        </w:tc>
        <w:tc>
          <w:tcPr>
            <w:tcW w:type="dxa" w:w="1234"/>
          </w:tcPr>
          <w:p>
            <w:r>
              <w:rPr>
                <w:rFonts w:ascii="Calibri" w:hAnsi="Calibri"/>
                <w:sz w:val="22"/>
              </w:rPr>
              <w:t>8.66%</w:t>
            </w:r>
          </w:p>
        </w:tc>
        <w:tc>
          <w:tcPr>
            <w:tcW w:type="dxa" w:w="1234"/>
          </w:tcPr>
          <w:p>
            <w:r>
              <w:rPr>
                <w:rFonts w:ascii="Calibri" w:hAnsi="Calibri"/>
                <w:sz w:val="22"/>
              </w:rPr>
              <w:t>-22 bps YoY</w:t>
            </w:r>
          </w:p>
        </w:tc>
        <w:tc>
          <w:tcPr>
            <w:tcW w:type="dxa" w:w="1234"/>
          </w:tcPr>
          <w:p>
            <w:r>
              <w:rPr>
                <w:rFonts w:ascii="Calibri" w:hAnsi="Calibri"/>
                <w:sz w:val="22"/>
              </w:rPr>
              <w:t>40–60 bps gross margin expansion; EBITDA guidance unchanged</w:t>
            </w:r>
          </w:p>
        </w:tc>
        <w:tc>
          <w:tcPr>
            <w:tcW w:type="dxa" w:w="1234"/>
          </w:tcPr>
          <w:p>
            <w:r>
              <w:rPr>
                <w:rFonts w:ascii="Calibri" w:hAnsi="Calibri"/>
                <w:sz w:val="22"/>
              </w:rPr>
              <w:t>Below prior-year; Iran headwind key risk</w:t>
            </w:r>
          </w:p>
        </w:tc>
      </w:tr>
    </w:tbl>
    <w:p>
      <w:r>
        <w:rPr>
          <w:rFonts w:ascii="Calibri" w:hAnsi="Calibri"/>
          <w:i/>
          <w:color w:val="525866"/>
          <w:sz w:val="22"/>
        </w:rPr>
        <w:t>Sources: Visible Alpha Consensus and Actuals Data</w:t>
      </w:r>
      <w:r>
        <w:rPr>
          <w:rFonts w:ascii="Calibri" w:hAnsi="Calibri"/>
          <w:color w:val="525866"/>
          <w:sz w:val="22"/>
        </w:rPr>
        <w:t xml:space="preserve"> — Total Revenue, Adj. EPS, Comparable Sales Growth (Total/Auto/Industrial), EBITDA Margin. Guidance from GPC Q1 2026 Earnings Release and Transcript (April 21,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$1.77</w:t>
            </w:r>
          </w:p>
        </w:tc>
        <w:tc>
          <w:tcPr>
            <w:tcW w:type="dxa" w:w="1728"/>
          </w:tcPr>
          <w:p>
            <w:r>
              <w:rPr>
                <w:rFonts w:ascii="Calibri" w:hAnsi="Calibri"/>
                <w:sz w:val="22"/>
              </w:rPr>
              <w:t>$1.75</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$1.55</w:t>
            </w:r>
          </w:p>
        </w:tc>
        <w:tc>
          <w:tcPr>
            <w:tcW w:type="dxa" w:w="1728"/>
          </w:tcPr>
          <w:p>
            <w:r>
              <w:rPr>
                <w:rFonts w:ascii="Calibri" w:hAnsi="Calibri"/>
                <w:sz w:val="22"/>
              </w:rPr>
              <w:t>$1.82</w:t>
            </w:r>
          </w:p>
        </w:tc>
        <w:tc>
          <w:tcPr>
            <w:tcW w:type="dxa" w:w="1728"/>
          </w:tcPr>
          <w:p>
            <w:r>
              <w:rPr>
                <w:rFonts w:ascii="Calibri" w:hAnsi="Calibri"/>
                <w:sz w:val="22"/>
              </w:rPr>
              <w:t>-14.8%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$1.98</w:t>
            </w:r>
          </w:p>
        </w:tc>
        <w:tc>
          <w:tcPr>
            <w:tcW w:type="dxa" w:w="1728"/>
          </w:tcPr>
          <w:p>
            <w:r>
              <w:rPr>
                <w:rFonts w:ascii="Calibri" w:hAnsi="Calibri"/>
                <w:sz w:val="22"/>
              </w:rPr>
              <w:t>$1.99</w:t>
            </w:r>
          </w:p>
        </w:tc>
        <w:tc>
          <w:tcPr>
            <w:tcW w:type="dxa" w:w="1728"/>
          </w:tcPr>
          <w:p>
            <w:r>
              <w:rPr>
                <w:rFonts w:ascii="Calibri" w:hAnsi="Calibri"/>
                <w:sz w:val="22"/>
              </w:rPr>
              <w:t>-0.5%</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$2.10</w:t>
            </w:r>
          </w:p>
        </w:tc>
        <w:tc>
          <w:tcPr>
            <w:tcW w:type="dxa" w:w="1728"/>
          </w:tcPr>
          <w:p>
            <w:r>
              <w:rPr>
                <w:rFonts w:ascii="Calibri" w:hAnsi="Calibri"/>
                <w:sz w:val="22"/>
              </w:rPr>
              <w:t>$2.07</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$1.75</w:t>
            </w:r>
          </w:p>
        </w:tc>
        <w:tc>
          <w:tcPr>
            <w:tcW w:type="dxa" w:w="1728"/>
          </w:tcPr>
          <w:p>
            <w:r>
              <w:rPr>
                <w:rFonts w:ascii="Calibri" w:hAnsi="Calibri"/>
                <w:sz w:val="22"/>
              </w:rPr>
              <w:t>$1.67</w:t>
            </w:r>
          </w:p>
        </w:tc>
        <w:tc>
          <w:tcPr>
            <w:tcW w:type="dxa" w:w="1728"/>
          </w:tcPr>
          <w:p>
            <w:r>
              <w:rPr>
                <w:rFonts w:ascii="Calibri" w:hAnsi="Calibri"/>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$1.61</w:t>
            </w:r>
          </w:p>
        </w:tc>
        <w:tc>
          <w:tcPr>
            <w:tcW w:type="dxa" w:w="1728"/>
          </w:tcPr>
          <w:p>
            <w:r>
              <w:rPr>
                <w:rFonts w:ascii="Calibri" w:hAnsi="Calibri"/>
                <w:sz w:val="22"/>
              </w:rPr>
              <w:t>$1.55</w:t>
            </w:r>
          </w:p>
        </w:tc>
        <w:tc>
          <w:tcPr>
            <w:tcW w:type="dxa" w:w="1728"/>
          </w:tcPr>
          <w:p>
            <w:r>
              <w:rPr>
                <w:rFonts w:ascii="Calibri" w:hAnsi="Calibri"/>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$1.88</w:t>
            </w:r>
          </w:p>
        </w:tc>
        <w:tc>
          <w:tcPr>
            <w:tcW w:type="dxa" w:w="1728"/>
          </w:tcPr>
          <w:p>
            <w:r>
              <w:rPr>
                <w:rFonts w:ascii="Calibri" w:hAnsi="Calibri"/>
                <w:sz w:val="22"/>
              </w:rPr>
              <w:t>$2.41</w:t>
            </w:r>
          </w:p>
        </w:tc>
        <w:tc>
          <w:tcPr>
            <w:tcW w:type="dxa" w:w="1728"/>
          </w:tcPr>
          <w:p>
            <w:r>
              <w:rPr>
                <w:rFonts w:ascii="Calibri" w:hAnsi="Calibri"/>
                <w:sz w:val="22"/>
              </w:rPr>
              <w:t>-22.0%</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N/A — not in 8Q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KPI 2: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$6.265B</w:t>
            </w:r>
          </w:p>
        </w:tc>
        <w:tc>
          <w:tcPr>
            <w:tcW w:type="dxa" w:w="1728"/>
          </w:tcPr>
          <w:p>
            <w:r>
              <w:rPr>
                <w:rFonts w:ascii="Calibri" w:hAnsi="Calibri"/>
                <w:sz w:val="22"/>
              </w:rPr>
              <w:t>$6.177B</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$6.009B</w:t>
            </w:r>
          </w:p>
        </w:tc>
        <w:tc>
          <w:tcPr>
            <w:tcW w:type="dxa" w:w="1728"/>
          </w:tcPr>
          <w:p>
            <w:r>
              <w:rPr>
                <w:rFonts w:ascii="Calibri" w:hAnsi="Calibri"/>
                <w:sz w:val="22"/>
              </w:rPr>
              <w:t>$6.060B</w:t>
            </w:r>
          </w:p>
        </w:tc>
        <w:tc>
          <w:tcPr>
            <w:tcW w:type="dxa" w:w="1728"/>
          </w:tcPr>
          <w:p>
            <w:r>
              <w:rPr>
                <w:rFonts w:ascii="Calibri" w:hAnsi="Calibri"/>
                <w:sz w:val="22"/>
              </w:rPr>
              <w:t>-0.8%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$6.260B</w:t>
            </w:r>
          </w:p>
        </w:tc>
        <w:tc>
          <w:tcPr>
            <w:tcW w:type="dxa" w:w="1728"/>
          </w:tcPr>
          <w:p>
            <w:r>
              <w:rPr>
                <w:rFonts w:ascii="Calibri" w:hAnsi="Calibri"/>
                <w:sz w:val="22"/>
              </w:rPr>
              <w:t>$6.125B</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$6.164B</w:t>
            </w:r>
          </w:p>
        </w:tc>
        <w:tc>
          <w:tcPr>
            <w:tcW w:type="dxa" w:w="1728"/>
          </w:tcPr>
          <w:p>
            <w:r>
              <w:rPr>
                <w:rFonts w:ascii="Calibri" w:hAnsi="Calibri"/>
                <w:sz w:val="22"/>
              </w:rPr>
              <w:t>$6.111B</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$5.866B</w:t>
            </w:r>
          </w:p>
        </w:tc>
        <w:tc>
          <w:tcPr>
            <w:tcW w:type="dxa" w:w="1728"/>
          </w:tcPr>
          <w:p>
            <w:r>
              <w:rPr>
                <w:rFonts w:ascii="Calibri" w:hAnsi="Calibri"/>
                <w:sz w:val="22"/>
              </w:rPr>
              <w:t>$5.835B</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$5.770B</w:t>
            </w:r>
          </w:p>
        </w:tc>
        <w:tc>
          <w:tcPr>
            <w:tcW w:type="dxa" w:w="1728"/>
          </w:tcPr>
          <w:p>
            <w:r>
              <w:rPr>
                <w:rFonts w:ascii="Calibri" w:hAnsi="Calibri"/>
                <w:sz w:val="22"/>
              </w:rPr>
              <w:t>$5.712B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$5.970B</w:t>
            </w:r>
          </w:p>
        </w:tc>
        <w:tc>
          <w:tcPr>
            <w:tcW w:type="dxa" w:w="1728"/>
          </w:tcPr>
          <w:p>
            <w:r>
              <w:rPr>
                <w:rFonts w:ascii="Calibri" w:hAnsi="Calibri"/>
                <w:sz w:val="22"/>
              </w:rPr>
              <w:t>$5.934B</w:t>
            </w:r>
          </w:p>
        </w:tc>
        <w:tc>
          <w:tcPr>
            <w:tcW w:type="dxa" w:w="1728"/>
          </w:tcPr>
          <w:p>
            <w:r>
              <w:rPr>
                <w:rFonts w:ascii="Calibri" w:hAnsi="Calibri"/>
                <w:sz w:val="22"/>
              </w:rPr>
              <w:t>+0.6%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GPC has beaten revenue consensus in 6 of the last 7 quarters, suggesting the top line is a reliable beat; EPS is more volatile, with two significant misses (Q3 2024, Q4 2025) driven by depreciation and interest expense headwinds rather than operational underperformance.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Full-year guidance is unchanged since the Q1 call — no post-earnings 8-K or conference update has been issued. Management's tone was deliberately cautious, flagging Q2 as the peak Iran headwind quarter, and the absence of any guidance revision since April 21 is itself a signal that conditions have not materially deteriorated.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Diluted EPS</w:t>
            </w:r>
          </w:p>
        </w:tc>
        <w:tc>
          <w:tcPr>
            <w:tcW w:type="dxa" w:w="1728"/>
          </w:tcPr>
          <w:p>
            <w:r>
              <w:rPr>
                <w:rFonts w:ascii="Calibri" w:hAnsi="Calibri"/>
                <w:sz w:val="22"/>
              </w:rPr>
              <w:t>$7.50–$8.00 (+5% at midpoint vs. 2025)</w:t>
            </w:r>
          </w:p>
        </w:tc>
        <w:tc>
          <w:tcPr>
            <w:tcW w:type="dxa" w:w="1728"/>
          </w:tcPr>
          <w:p>
            <w:r>
              <w:rPr>
                <w:rFonts w:ascii="Calibri" w:hAnsi="Calibri"/>
                <w:sz w:val="22"/>
              </w:rPr>
              <w:t>—</w:t>
            </w:r>
          </w:p>
        </w:tc>
        <w:tc>
          <w:tcPr>
            <w:tcW w:type="dxa" w:w="1728"/>
          </w:tcPr>
          <w:p>
            <w:r>
              <w:rPr>
                <w:rFonts w:ascii="Calibri" w:hAnsi="Calibri"/>
                <w:sz w:val="22"/>
              </w:rPr>
              <w:t>$7.73</w:t>
            </w:r>
          </w:p>
        </w:tc>
        <w:tc>
          <w:tcPr>
            <w:tcW w:type="dxa" w:w="1728"/>
          </w:tcPr>
          <w:p>
            <w:r>
              <w:rPr>
                <w:rFonts w:ascii="Calibri" w:hAnsi="Calibri"/>
                <w:sz w:val="22"/>
              </w:rPr>
              <w:t>Unchanged; consensus sits near midpoint. Dep. &amp; interest headwind of ~$0.30 flagged.</w:t>
            </w:r>
          </w:p>
        </w:tc>
      </w:tr>
      <w:tr>
        <w:tc>
          <w:tcPr>
            <w:tcW w:type="dxa" w:w="1728"/>
          </w:tcPr>
          <w:p>
            <w:r>
              <w:rPr>
                <w:rFonts w:ascii="Calibri" w:hAnsi="Calibri"/>
                <w:sz w:val="22"/>
              </w:rPr>
              <w:t>FY 2026 GAAP Diluted EPS</w:t>
            </w:r>
          </w:p>
        </w:tc>
        <w:tc>
          <w:tcPr>
            <w:tcW w:type="dxa" w:w="1728"/>
          </w:tcPr>
          <w:p>
            <w:r>
              <w:rPr>
                <w:rFonts w:ascii="Calibri" w:hAnsi="Calibri"/>
                <w:sz w:val="22"/>
              </w:rPr>
              <w:t>$6.10–$6.60</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Includes restructuring costs of $225–$250M.</w:t>
            </w:r>
          </w:p>
        </w:tc>
      </w:tr>
      <w:tr>
        <w:tc>
          <w:tcPr>
            <w:tcW w:type="dxa" w:w="1728"/>
          </w:tcPr>
          <w:p>
            <w:r>
              <w:rPr>
                <w:rFonts w:ascii="Calibri" w:hAnsi="Calibri"/>
                <w:sz w:val="22"/>
              </w:rPr>
              <w:t>FY 2026 Total Sales Growth</w:t>
            </w:r>
          </w:p>
        </w:tc>
        <w:tc>
          <w:tcPr>
            <w:tcW w:type="dxa" w:w="1728"/>
          </w:tcPr>
          <w:p>
            <w:r>
              <w:rPr>
                <w:rFonts w:ascii="Calibri" w:hAnsi="Calibri"/>
                <w:sz w:val="22"/>
              </w:rPr>
              <w:t>+3% to +5.5%</w:t>
            </w:r>
          </w:p>
        </w:tc>
        <w:tc>
          <w:tcPr>
            <w:tcW w:type="dxa" w:w="1728"/>
          </w:tcPr>
          <w:p>
            <w:r>
              <w:rPr>
                <w:rFonts w:ascii="Calibri" w:hAnsi="Calibri"/>
                <w:sz w:val="22"/>
              </w:rPr>
              <w:t>—</w:t>
            </w:r>
          </w:p>
        </w:tc>
        <w:tc>
          <w:tcPr>
            <w:tcW w:type="dxa" w:w="1728"/>
          </w:tcPr>
          <w:p>
            <w:r>
              <w:rPr>
                <w:rFonts w:ascii="Calibri" w:hAnsi="Calibri"/>
                <w:sz w:val="22"/>
              </w:rPr>
              <w:t>~+3.7% implied by $25.46B consensus</w:t>
            </w:r>
          </w:p>
        </w:tc>
        <w:tc>
          <w:tcPr>
            <w:tcW w:type="dxa" w:w="1728"/>
          </w:tcPr>
          <w:p>
            <w:r>
              <w:rPr>
                <w:rFonts w:ascii="Calibri" w:hAnsi="Calibri"/>
                <w:sz w:val="22"/>
              </w:rPr>
              <w:t>Unchanged; assumes ~flat market, ~2% pricing (tariff + inflation), ~1pt FX, ~1pt strategic initiatives.</w:t>
            </w:r>
          </w:p>
        </w:tc>
      </w:tr>
      <w:tr>
        <w:tc>
          <w:tcPr>
            <w:tcW w:type="dxa" w:w="1728"/>
          </w:tcPr>
          <w:p>
            <w:r>
              <w:rPr>
                <w:rFonts w:ascii="Calibri" w:hAnsi="Calibri"/>
                <w:sz w:val="22"/>
              </w:rPr>
              <w:t>NA Automotive Sales Growth</w:t>
            </w:r>
          </w:p>
        </w:tc>
        <w:tc>
          <w:tcPr>
            <w:tcW w:type="dxa" w:w="1728"/>
          </w:tcPr>
          <w:p>
            <w:r>
              <w:rPr>
                <w:rFonts w:ascii="Calibri" w:hAnsi="Calibri"/>
                <w:sz w:val="22"/>
              </w:rPr>
              <w:t>+3% to +5%</w:t>
            </w:r>
          </w:p>
        </w:tc>
        <w:tc>
          <w:tcPr>
            <w:tcW w:type="dxa" w:w="1728"/>
          </w:tcPr>
          <w:p>
            <w:r>
              <w:rPr>
                <w:rFonts w:ascii="Calibri" w:hAnsi="Calibri"/>
                <w:sz w:val="22"/>
              </w:rPr>
              <w:t>—</w:t>
            </w:r>
          </w:p>
        </w:tc>
        <w:tc>
          <w:tcPr>
            <w:tcW w:type="dxa" w:w="1728"/>
          </w:tcPr>
          <w:p>
            <w:r>
              <w:rPr>
                <w:rFonts w:ascii="Calibri" w:hAnsi="Calibri"/>
                <w:sz w:val="22"/>
              </w:rPr>
              <w:t>N/A — segment-level not separately tracked</w:t>
            </w:r>
          </w:p>
        </w:tc>
        <w:tc>
          <w:tcPr>
            <w:tcW w:type="dxa" w:w="1728"/>
          </w:tcPr>
          <w:p>
            <w:r>
              <w:rPr>
                <w:rFonts w:ascii="Calibri" w:hAnsi="Calibri"/>
                <w:sz w:val="22"/>
              </w:rPr>
              <w:t>Unchanged.</w:t>
            </w:r>
          </w:p>
        </w:tc>
      </w:tr>
      <w:tr>
        <w:tc>
          <w:tcPr>
            <w:tcW w:type="dxa" w:w="1728"/>
          </w:tcPr>
          <w:p>
            <w:r>
              <w:rPr>
                <w:rFonts w:ascii="Calibri" w:hAnsi="Calibri"/>
                <w:sz w:val="22"/>
              </w:rPr>
              <w:t>International Automotive Sales Growth</w:t>
            </w:r>
          </w:p>
        </w:tc>
        <w:tc>
          <w:tcPr>
            <w:tcW w:type="dxa" w:w="1728"/>
          </w:tcPr>
          <w:p>
            <w:r>
              <w:rPr>
                <w:rFonts w:ascii="Calibri" w:hAnsi="Calibri"/>
                <w:sz w:val="22"/>
              </w:rPr>
              <w:t>+3% to +6%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FX tailwind of ~1pt for rest of year (vs. 320 bps in Q1).</w:t>
            </w:r>
          </w:p>
        </w:tc>
      </w:tr>
      <w:tr>
        <w:tc>
          <w:tcPr>
            <w:tcW w:type="dxa" w:w="1728"/>
          </w:tcPr>
          <w:p>
            <w:r>
              <w:rPr>
                <w:rFonts w:ascii="Calibri" w:hAnsi="Calibri"/>
                <w:sz w:val="22"/>
              </w:rPr>
              <w:t>Industrial Sales Growth</w:t>
            </w:r>
          </w:p>
        </w:tc>
        <w:tc>
          <w:tcPr>
            <w:tcW w:type="dxa" w:w="1728"/>
          </w:tcPr>
          <w:p>
            <w:r>
              <w:rPr>
                <w:rFonts w:ascii="Calibri" w:hAnsi="Calibri"/>
                <w:sz w:val="22"/>
              </w:rPr>
              <w:t>+3% to +6%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PMI above 50 for 3 consecutive months is a positive signal.</w:t>
            </w:r>
          </w:p>
        </w:tc>
      </w:tr>
      <w:tr>
        <w:tc>
          <w:tcPr>
            <w:tcW w:type="dxa" w:w="1728"/>
          </w:tcPr>
          <w:p>
            <w:r>
              <w:rPr>
                <w:rFonts w:ascii="Calibri" w:hAnsi="Calibri"/>
                <w:sz w:val="22"/>
              </w:rPr>
              <w:t>Gross Margin Expansion</w:t>
            </w:r>
          </w:p>
        </w:tc>
        <w:tc>
          <w:tcPr>
            <w:tcW w:type="dxa" w:w="1728"/>
          </w:tcPr>
          <w:p>
            <w:r>
              <w:rPr>
                <w:rFonts w:ascii="Calibri" w:hAnsi="Calibri"/>
                <w:sz w:val="22"/>
              </w:rPr>
              <w:t>+40 to +60 bps FY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tariff pricing benefit ~2% for FY, split evenly tariff/inflation.</w:t>
            </w:r>
          </w:p>
        </w:tc>
      </w:tr>
      <w:tr>
        <w:tc>
          <w:tcPr>
            <w:tcW w:type="dxa" w:w="1728"/>
          </w:tcPr>
          <w:p>
            <w:r>
              <w:rPr>
                <w:rFonts w:ascii="Calibri" w:hAnsi="Calibri"/>
                <w:sz w:val="22"/>
              </w:rPr>
              <w:t>Q2 2026 Iran EBITDA Headwind</w:t>
            </w:r>
          </w:p>
        </w:tc>
        <w:tc>
          <w:tcPr>
            <w:tcW w:type="dxa" w:w="1728"/>
          </w:tcPr>
          <w:p>
            <w:r>
              <w:rPr>
                <w:rFonts w:ascii="Calibri" w:hAnsi="Calibri"/>
                <w:sz w:val="22"/>
              </w:rPr>
              <w:t>$10–$20M net EBITDA downside (freight-in, freight-out, fuel)</w:t>
            </w:r>
          </w:p>
        </w:tc>
        <w:tc>
          <w:tcPr>
            <w:tcW w:type="dxa" w:w="1728"/>
          </w:tcPr>
          <w:p>
            <w:r>
              <w:rPr>
                <w:rFonts w:ascii="Calibri" w:hAnsi="Calibri"/>
                <w:sz w:val="22"/>
              </w:rPr>
              <w:t>—</w:t>
            </w:r>
          </w:p>
        </w:tc>
        <w:tc>
          <w:tcPr>
            <w:tcW w:type="dxa" w:w="1728"/>
          </w:tcPr>
          <w:p>
            <w:r>
              <w:rPr>
                <w:rFonts w:ascii="Calibri" w:hAnsi="Calibri"/>
                <w:sz w:val="22"/>
              </w:rPr>
              <w:t>N/A — incorporated in consensus</w:t>
            </w:r>
          </w:p>
        </w:tc>
        <w:tc>
          <w:tcPr>
            <w:tcW w:type="dxa" w:w="1728"/>
          </w:tcPr>
          <w:p>
            <w:r>
              <w:rPr>
                <w:rFonts w:ascii="Calibri" w:hAnsi="Calibri"/>
                <w:sz w:val="22"/>
              </w:rPr>
              <w:t>Most pronounced in Q2; headwinds abate in H2. Middle East sourcing &lt;0.5% of total purchases.</w:t>
            </w:r>
          </w:p>
        </w:tc>
      </w:tr>
      <w:tr>
        <w:tc>
          <w:tcPr>
            <w:tcW w:type="dxa" w:w="1728"/>
          </w:tcPr>
          <w:p>
            <w:r>
              <w:rPr>
                <w:rFonts w:ascii="Calibri" w:hAnsi="Calibri"/>
                <w:sz w:val="22"/>
              </w:rPr>
              <w:t>Restructuring Savings (2026 Benefit)</w:t>
            </w:r>
          </w:p>
        </w:tc>
        <w:tc>
          <w:tcPr>
            <w:tcW w:type="dxa" w:w="1728"/>
          </w:tcPr>
          <w:p>
            <w:r>
              <w:rPr>
                <w:rFonts w:ascii="Calibri" w:hAnsi="Calibri"/>
                <w:sz w:val="22"/>
              </w:rPr>
              <w:t>$100–$125M benefit in 2026; $225–$250M total program cost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savings build through the year, providing H2 tailwind.</w:t>
            </w:r>
          </w:p>
        </w:tc>
      </w:tr>
      <w:tr>
        <w:tc>
          <w:tcPr>
            <w:tcW w:type="dxa" w:w="1728"/>
          </w:tcPr>
          <w:p>
            <w:r>
              <w:rPr>
                <w:rFonts w:ascii="Calibri" w:hAnsi="Calibri"/>
                <w:sz w:val="22"/>
              </w:rPr>
              <w:t>Free Cash Flow</w:t>
            </w:r>
          </w:p>
        </w:tc>
        <w:tc>
          <w:tcPr>
            <w:tcW w:type="dxa" w:w="1728"/>
          </w:tcPr>
          <w:p>
            <w:r>
              <w:rPr>
                <w:rFonts w:ascii="Calibri" w:hAnsi="Calibri"/>
                <w:sz w:val="22"/>
              </w:rPr>
              <w:t>$550–$700M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Separation Status</w:t>
            </w:r>
          </w:p>
        </w:tc>
        <w:tc>
          <w:tcPr>
            <w:tcW w:type="dxa" w:w="1728"/>
          </w:tcPr>
          <w:p>
            <w:r>
              <w:rPr>
                <w:rFonts w:ascii="Calibri" w:hAnsi="Calibri"/>
                <w:sz w:val="22"/>
              </w:rPr>
              <w:t>On track for Q1 2027; dis-synergies $100–$150M run-rate</w:t>
            </w:r>
          </w:p>
        </w:tc>
        <w:tc>
          <w:tcPr>
            <w:tcW w:type="dxa" w:w="1728"/>
          </w:tcPr>
          <w:p>
            <w:r>
              <w:rPr>
                <w:rFonts w:ascii="Calibri" w:hAnsi="Calibri"/>
                <w:sz w:val="22"/>
              </w:rPr>
              <w:t>O'Reilly bid reported July 2 (Bloomberg) — not a company-issued revision</w:t>
            </w:r>
          </w:p>
        </w:tc>
        <w:tc>
          <w:tcPr>
            <w:tcW w:type="dxa" w:w="1728"/>
          </w:tcPr>
          <w:p>
            <w:r>
              <w:rPr>
                <w:rFonts w:ascii="Calibri" w:hAnsi="Calibri"/>
                <w:sz w:val="22"/>
              </w:rPr>
              <w:t>N/A</w:t>
            </w:r>
          </w:p>
        </w:tc>
        <w:tc>
          <w:tcPr>
            <w:tcW w:type="dxa" w:w="1728"/>
          </w:tcPr>
          <w:p>
            <w:r>
              <w:rPr>
                <w:rFonts w:ascii="Calibri" w:hAnsi="Calibri"/>
                <w:sz w:val="22"/>
              </w:rPr>
              <w:t>Strategic review ongoing; O'Reilly reportedly bid ~$10B for NAPA auto unit. Investor days for each SpinCo planned H2 2026.</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higher since the Q1 print baseline, tracking guidance rather than diverging. The narrow gap between consensus and guidance midpoint suggests the street is aligned with management's cautious tone — </w:t>
      </w:r>
      <w:r>
        <w:rPr>
          <w:rFonts w:ascii="Calibri" w:hAnsi="Calibri"/>
          <w:b/>
          <w:color w:val="525866"/>
          <w:sz w:val="22"/>
        </w:rPr>
        <w:t>there is limited cushion for upside surprise but also limited risk of a consensus-driven cut</w:t>
      </w:r>
      <w:r>
        <w:rPr>
          <w:rFonts w:ascii="Calibri" w:hAnsi="Calibri"/>
          <w:color w:val="525866"/>
          <w:sz w:val="22"/>
        </w:rPr>
        <w:t xml:space="preserve"> unless Iran headwinds came in at the high end of the $10–20M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EPS — Q2 2026</w:t>
            </w:r>
          </w:p>
        </w:tc>
        <w:tc>
          <w:tcPr>
            <w:tcW w:type="dxa" w:w="1080"/>
          </w:tcPr>
          <w:p>
            <w:r>
              <w:rPr>
                <w:rFonts w:ascii="Calibri" w:hAnsi="Calibri"/>
                <w:sz w:val="22"/>
              </w:rPr>
              <w:t>$2.04</w:t>
            </w:r>
          </w:p>
        </w:tc>
        <w:tc>
          <w:tcPr>
            <w:tcW w:type="dxa" w:w="1080"/>
          </w:tcPr>
          <w:p>
            <w:r>
              <w:rPr>
                <w:rFonts w:ascii="Calibri" w:hAnsi="Calibri"/>
                <w:sz w:val="22"/>
              </w:rPr>
              <w:t>$2.07</w:t>
            </w:r>
          </w:p>
        </w:tc>
        <w:tc>
          <w:tcPr>
            <w:tcW w:type="dxa" w:w="1080"/>
          </w:tcPr>
          <w:p>
            <w:r>
              <w:rPr>
                <w:rFonts w:ascii="Calibri" w:hAnsi="Calibri"/>
                <w:sz w:val="22"/>
              </w:rPr>
              <w:t>+1.5%</w:t>
            </w:r>
          </w:p>
        </w:tc>
        <w:tc>
          <w:tcPr>
            <w:tcW w:type="dxa" w:w="1080"/>
          </w:tcPr>
          <w:p>
            <w:r>
              <w:rPr>
                <w:rFonts w:ascii="Calibri" w:hAnsi="Calibri"/>
                <w:sz w:val="22"/>
              </w:rPr>
              <w:t>No Q2-specific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Q2 guidance)</w:t>
            </w:r>
          </w:p>
        </w:tc>
      </w:tr>
      <w:tr>
        <w:tc>
          <w:tcPr>
            <w:tcW w:type="dxa" w:w="1080"/>
          </w:tcPr>
          <w:p>
            <w:r>
              <w:rPr>
                <w:rFonts w:ascii="Calibri" w:hAnsi="Calibri"/>
                <w:sz w:val="22"/>
              </w:rPr>
              <w:t>Adj. EPS — FY 2026</w:t>
            </w:r>
          </w:p>
        </w:tc>
        <w:tc>
          <w:tcPr>
            <w:tcW w:type="dxa" w:w="1080"/>
          </w:tcPr>
          <w:p>
            <w:r>
              <w:rPr>
                <w:rFonts w:ascii="Calibri" w:hAnsi="Calibri"/>
                <w:sz w:val="22"/>
              </w:rPr>
              <w:t>$7.72</w:t>
            </w:r>
          </w:p>
        </w:tc>
        <w:tc>
          <w:tcPr>
            <w:tcW w:type="dxa" w:w="1080"/>
          </w:tcPr>
          <w:p>
            <w:r>
              <w:rPr>
                <w:rFonts w:ascii="Calibri" w:hAnsi="Calibri"/>
                <w:sz w:val="22"/>
              </w:rPr>
              <w:t>$7.73</w:t>
            </w:r>
          </w:p>
        </w:tc>
        <w:tc>
          <w:tcPr>
            <w:tcW w:type="dxa" w:w="1080"/>
          </w:tcPr>
          <w:p>
            <w:r>
              <w:rPr>
                <w:rFonts w:ascii="Calibri" w:hAnsi="Calibri"/>
                <w:sz w:val="22"/>
              </w:rPr>
              <w:t>+0.1%</w:t>
            </w:r>
          </w:p>
        </w:tc>
        <w:tc>
          <w:tcPr>
            <w:tcW w:type="dxa" w:w="1080"/>
          </w:tcPr>
          <w:p>
            <w:r>
              <w:rPr>
                <w:rFonts w:ascii="Calibri" w:hAnsi="Calibri"/>
                <w:sz w:val="22"/>
              </w:rPr>
              <w:t>$7.50–$8.00</w:t>
            </w:r>
          </w:p>
        </w:tc>
        <w:tc>
          <w:tcPr>
            <w:tcW w:type="dxa" w:w="1080"/>
          </w:tcPr>
          <w:p>
            <w:r>
              <w:rPr>
                <w:rFonts w:ascii="Calibri" w:hAnsi="Calibri"/>
                <w:sz w:val="22"/>
              </w:rPr>
              <w:t>$7.50–$8.00 (unchanged)</w:t>
            </w:r>
          </w:p>
        </w:tc>
        <w:tc>
          <w:tcPr>
            <w:tcW w:type="dxa" w:w="1080"/>
          </w:tcPr>
          <w:p>
            <w:r>
              <w:rPr>
                <w:rFonts w:ascii="Calibri" w:hAnsi="Calibri"/>
                <w:sz w:val="22"/>
              </w:rPr>
              <w:t>0%</w:t>
            </w:r>
          </w:p>
        </w:tc>
        <w:tc>
          <w:tcPr>
            <w:tcW w:type="dxa" w:w="1080"/>
          </w:tcPr>
          <w:p>
            <w:r>
              <w:rPr>
                <w:rFonts w:ascii="Calibri" w:hAnsi="Calibri"/>
                <w:sz w:val="22"/>
              </w:rPr>
              <w:t>-0.2% below midpoint ($7.75)</w:t>
            </w:r>
          </w:p>
        </w:tc>
      </w:tr>
      <w:tr>
        <w:tc>
          <w:tcPr>
            <w:tcW w:type="dxa" w:w="1080"/>
          </w:tcPr>
          <w:p>
            <w:r>
              <w:rPr>
                <w:rFonts w:ascii="Calibri" w:hAnsi="Calibri"/>
                <w:sz w:val="22"/>
              </w:rPr>
              <w:t>Total Revenue — Q2 2026 ($B)</w:t>
            </w:r>
          </w:p>
        </w:tc>
        <w:tc>
          <w:tcPr>
            <w:tcW w:type="dxa" w:w="1080"/>
          </w:tcPr>
          <w:p>
            <w:r>
              <w:rPr>
                <w:rFonts w:ascii="Calibri" w:hAnsi="Calibri"/>
                <w:sz w:val="22"/>
              </w:rPr>
              <w:t>$6.428B</w:t>
            </w:r>
          </w:p>
        </w:tc>
        <w:tc>
          <w:tcPr>
            <w:tcW w:type="dxa" w:w="1080"/>
          </w:tcPr>
          <w:p>
            <w:r>
              <w:rPr>
                <w:rFonts w:ascii="Calibri" w:hAnsi="Calibri"/>
                <w:sz w:val="22"/>
              </w:rPr>
              <w:t>$6.433B</w:t>
            </w:r>
          </w:p>
        </w:tc>
        <w:tc>
          <w:tcPr>
            <w:tcW w:type="dxa" w:w="1080"/>
          </w:tcPr>
          <w:p>
            <w:r>
              <w:rPr>
                <w:rFonts w:ascii="Calibri" w:hAnsi="Calibri"/>
                <w:sz w:val="22"/>
              </w:rPr>
              <w:t>+0.1%</w:t>
            </w:r>
          </w:p>
        </w:tc>
        <w:tc>
          <w:tcPr>
            <w:tcW w:type="dxa" w:w="1080"/>
          </w:tcPr>
          <w:p>
            <w:r>
              <w:rPr>
                <w:rFonts w:ascii="Calibri" w:hAnsi="Calibri"/>
                <w:sz w:val="22"/>
              </w:rPr>
              <w:t>+3% to +5.5% total sales growth</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~+1.8% above midpoint</w:t>
            </w:r>
          </w:p>
        </w:tc>
      </w:tr>
      <w:tr>
        <w:tc>
          <w:tcPr>
            <w:tcW w:type="dxa" w:w="1080"/>
          </w:tcPr>
          <w:p>
            <w:r>
              <w:rPr>
                <w:rFonts w:ascii="Calibri" w:hAnsi="Calibri"/>
                <w:sz w:val="22"/>
              </w:rPr>
              <w:t>Total Revenue — FY 2026 ($B)</w:t>
            </w:r>
          </w:p>
        </w:tc>
        <w:tc>
          <w:tcPr>
            <w:tcW w:type="dxa" w:w="1080"/>
          </w:tcPr>
          <w:p>
            <w:r>
              <w:rPr>
                <w:rFonts w:ascii="Calibri" w:hAnsi="Calibri"/>
                <w:sz w:val="22"/>
              </w:rPr>
              <w:t>$25.454B</w:t>
            </w:r>
          </w:p>
        </w:tc>
        <w:tc>
          <w:tcPr>
            <w:tcW w:type="dxa" w:w="1080"/>
          </w:tcPr>
          <w:p>
            <w:r>
              <w:rPr>
                <w:rFonts w:ascii="Calibri" w:hAnsi="Calibri"/>
                <w:sz w:val="22"/>
              </w:rPr>
              <w:t>$25.463B</w:t>
            </w:r>
          </w:p>
        </w:tc>
        <w:tc>
          <w:tcPr>
            <w:tcW w:type="dxa" w:w="1080"/>
          </w:tcPr>
          <w:p>
            <w:r>
              <w:rPr>
                <w:rFonts w:ascii="Calibri" w:hAnsi="Calibri"/>
                <w:sz w:val="22"/>
              </w:rPr>
              <w:t>+0.0%</w:t>
            </w:r>
          </w:p>
        </w:tc>
        <w:tc>
          <w:tcPr>
            <w:tcW w:type="dxa" w:w="1080"/>
          </w:tcPr>
          <w:p>
            <w:r>
              <w:rPr>
                <w:rFonts w:ascii="Calibri" w:hAnsi="Calibri"/>
                <w:sz w:val="22"/>
              </w:rPr>
              <w:t>+3% to +5.5% total sales growth</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~+1.8% above midpoint</w:t>
            </w:r>
          </w:p>
        </w:tc>
      </w:tr>
      <w:tr>
        <w:tc>
          <w:tcPr>
            <w:tcW w:type="dxa" w:w="1080"/>
          </w:tcPr>
          <w:p>
            <w:r>
              <w:rPr>
                <w:rFonts w:ascii="Calibri" w:hAnsi="Calibri"/>
                <w:sz w:val="22"/>
              </w:rPr>
              <w:t>Comp Sales Growth — Q2 2026 (%)</w:t>
            </w:r>
          </w:p>
        </w:tc>
        <w:tc>
          <w:tcPr>
            <w:tcW w:type="dxa" w:w="1080"/>
          </w:tcPr>
          <w:p>
            <w:r>
              <w:rPr>
                <w:rFonts w:ascii="Calibri" w:hAnsi="Calibri"/>
                <w:sz w:val="22"/>
              </w:rPr>
              <w:t>+3.1%</w:t>
            </w:r>
          </w:p>
        </w:tc>
        <w:tc>
          <w:tcPr>
            <w:tcW w:type="dxa" w:w="1080"/>
          </w:tcPr>
          <w:p>
            <w:r>
              <w:rPr>
                <w:rFonts w:ascii="Calibri" w:hAnsi="Calibri"/>
                <w:sz w:val="22"/>
              </w:rPr>
              <w:t>+2.9%</w:t>
            </w:r>
          </w:p>
        </w:tc>
        <w:tc>
          <w:tcPr>
            <w:tcW w:type="dxa" w:w="1080"/>
          </w:tcPr>
          <w:p>
            <w:r>
              <w:rPr>
                <w:rFonts w:ascii="Calibri" w:hAnsi="Calibri"/>
                <w:sz w:val="22"/>
              </w:rPr>
              <w:t>-0.2 pp</w:t>
            </w:r>
          </w:p>
        </w:tc>
        <w:tc>
          <w:tcPr>
            <w:tcW w:type="dxa" w:w="1080"/>
          </w:tcPr>
          <w:p>
            <w:r>
              <w:rPr>
                <w:rFonts w:ascii="Calibri" w:hAnsi="Calibri"/>
                <w:sz w:val="22"/>
              </w:rPr>
              <w:t>~Flat market + ~2% pricing</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In line with guidance framework</w:t>
            </w:r>
          </w:p>
        </w:tc>
      </w:tr>
      <w:tr>
        <w:tc>
          <w:tcPr>
            <w:tcW w:type="dxa" w:w="1080"/>
          </w:tcPr>
          <w:p>
            <w:r>
              <w:rPr>
                <w:rFonts w:ascii="Calibri" w:hAnsi="Calibri"/>
                <w:sz w:val="22"/>
              </w:rPr>
              <w:t>Comp Sales Growth — FY 2026 (%)</w:t>
            </w:r>
          </w:p>
        </w:tc>
        <w:tc>
          <w:tcPr>
            <w:tcW w:type="dxa" w:w="1080"/>
          </w:tcPr>
          <w:p>
            <w:r>
              <w:rPr>
                <w:rFonts w:ascii="Calibri" w:hAnsi="Calibri"/>
                <w:sz w:val="22"/>
              </w:rPr>
              <w:t>+3.1%</w:t>
            </w:r>
          </w:p>
        </w:tc>
        <w:tc>
          <w:tcPr>
            <w:tcW w:type="dxa" w:w="1080"/>
          </w:tcPr>
          <w:p>
            <w:r>
              <w:rPr>
                <w:rFonts w:ascii="Calibri" w:hAnsi="Calibri"/>
                <w:sz w:val="22"/>
              </w:rPr>
              <w:t>+2.9%</w:t>
            </w:r>
          </w:p>
        </w:tc>
        <w:tc>
          <w:tcPr>
            <w:tcW w:type="dxa" w:w="1080"/>
          </w:tcPr>
          <w:p>
            <w:r>
              <w:rPr>
                <w:rFonts w:ascii="Calibri" w:hAnsi="Calibri"/>
                <w:sz w:val="22"/>
              </w:rPr>
              <w:t>-0.2 pp</w:t>
            </w:r>
          </w:p>
        </w:tc>
        <w:tc>
          <w:tcPr>
            <w:tcW w:type="dxa" w:w="1080"/>
          </w:tcPr>
          <w:p>
            <w:r>
              <w:rPr>
                <w:rFonts w:ascii="Calibri" w:hAnsi="Calibri"/>
                <w:sz w:val="22"/>
              </w:rPr>
              <w:t>~Flat market + ~2% pricing</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In line with guidance framework</w:t>
            </w:r>
          </w:p>
        </w:tc>
      </w:tr>
    </w:tbl>
    <w:p>
      <w:r>
        <w:rPr>
          <w:rFonts w:ascii="Calibri" w:hAnsi="Calibri"/>
          <w:i/>
          <w:color w:val="525866"/>
          <w:sz w:val="22"/>
        </w:rPr>
        <w:t>Source: Visible Alpha Consensus and Actuals Data. Post-Q1 baseline as of April 28, 2026 (5 trading days post-April 21 earnings). Current consensus as of July 20, 2026.</w:t>
      </w:r>
    </w:p>
    <w:p>
      <w:r>
        <w:rPr>
          <w:rFonts w:ascii="Calibri" w:hAnsi="Calibri"/>
          <w:b/>
          <w:color w:val="525866"/>
          <w:sz w:val="22"/>
        </w:rPr>
        <w:t xml:space="preserve">Commentary: </w:t>
      </w:r>
      <w:r>
        <w:rPr>
          <w:rFonts w:ascii="Calibri" w:hAnsi="Calibri"/>
          <w:color w:val="525866"/>
          <w:sz w:val="22"/>
        </w:rPr>
        <w:t>The revision trail is remarkably stable — Q2 EPS estimates moved only +$0.03 and FY EPS only +$0.01 over the 12 weeks since the Q1 print. The mid-June uptick in EPS estimates (from $2.04 to $2.07) coincided with the O'Reilly bid news and broader market re-rating, not a fundamental change in the operating outlook. Comp sales estimates have actually drifted slightly lower (-0.2 pp) since the post-Q1 baseline, consistent with management's guidance that the FX tailwind would not repeat at Q1 levels.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O'Reilly bid for the NAPA auto parts business is the single most important development since last earnings — it has re-rated the stock and will dominate the Q2 call narrative. The Iran conflict, while easing, created real Q2 cost headwinds that will be quantified for the first time tomorrow.</w:t>
      </w:r>
    </w:p>
    <w:p>
      <w:pPr>
        <w:pStyle w:val="ListBullet"/>
        <w:ind w:left="360" w:hanging="360"/>
      </w:pPr>
      <w:r>
        <w:rPr>
          <w:rFonts w:ascii="Calibri" w:hAnsi="Calibri"/>
          <w:b/>
          <w:color w:val="525866"/>
          <w:sz w:val="22"/>
        </w:rPr>
        <w:t>July 2, 2026 — O'Reilly Automotive Submits ~$10B Cash Bid for NAPA Auto Parts Unit (Bloomberg)</w:t>
      </w:r>
      <w:r>
        <w:rPr>
          <w:rFonts w:ascii="Calibri" w:hAnsi="Calibri"/>
          <w:color w:val="525866"/>
          <w:sz w:val="22"/>
        </w:rPr>
        <w:t xml:space="preserve">: Bloomberg reported that O'Reilly Automotive submitted a cash bid for GPC's NAPA auto parts business, potentially worth ~$10B or more. GPC shares surged ~13% on the day to $132.57. UBS analyst Michael Lasser flagged FTC scrutiny risk given ~60% of NAPA U.S. stores have an O'Reilly within a 10-minute drive, and noted NAPA's dual structure (company-owned ~1/3, independent ~2/3) complicates the investment case. </w:t>
      </w:r>
      <w:r>
        <w:rPr>
          <w:rFonts w:ascii="Calibri" w:hAnsi="Calibri"/>
          <w:b/>
          <w:color w:val="525866"/>
          <w:sz w:val="22"/>
        </w:rPr>
        <w:t xml:space="preserve">Implication: </w:t>
      </w:r>
      <w:r>
        <w:rPr>
          <w:rFonts w:ascii="Calibri" w:hAnsi="Calibri"/>
          <w:color w:val="525866"/>
          <w:sz w:val="22"/>
        </w:rPr>
        <w:t>Management will face intense Q&amp;A on the strategic review process, timeline, and whether other bidders exist. Any color on deal structure or valuation framework is a major catalyst.</w:t>
      </w:r>
    </w:p>
    <w:p>
      <w:pPr>
        <w:pStyle w:val="ListBullet"/>
        <w:ind w:left="360" w:hanging="360"/>
      </w:pPr>
      <w:r>
        <w:rPr>
          <w:rFonts w:ascii="Calibri" w:hAnsi="Calibri"/>
          <w:b/>
          <w:color w:val="525866"/>
          <w:sz w:val="22"/>
        </w:rPr>
        <w:t>April 21, 2026 — Q1 2026 Earnings: Beat on Revenue, Slight Miss on EPS; Full-Year Guidance Reaffirmed</w:t>
      </w:r>
      <w:r>
        <w:rPr>
          <w:rFonts w:ascii="Calibri" w:hAnsi="Calibri"/>
          <w:color w:val="525866"/>
          <w:sz w:val="22"/>
        </w:rPr>
        <w:t xml:space="preserve">: GPC reported Q1 revenue of $6.265B (+1.4% vs. consensus) and adj. EPS of $1.77 (+1.1% vs. consensus). Despite beating internal expectations, management reaffirmed full-year guidance, citing Iran conflict uncertainty concentrated in Q2. Stock fell in pre-market. </w:t>
      </w:r>
      <w:r>
        <w:rPr>
          <w:rFonts w:ascii="Calibri" w:hAnsi="Calibri"/>
          <w:b/>
          <w:color w:val="525866"/>
          <w:sz w:val="22"/>
        </w:rPr>
        <w:t xml:space="preserve">Implication: </w:t>
      </w:r>
      <w:r>
        <w:rPr>
          <w:rFonts w:ascii="Calibri" w:hAnsi="Calibri"/>
          <w:color w:val="525866"/>
          <w:sz w:val="22"/>
        </w:rPr>
        <w:t>Sets the baseline for Q2 expectations — management's caution was deliberate, and any Q2 result at the low end of the Iran headwind range ($10M) would be a positive surprise.</w:t>
      </w:r>
    </w:p>
    <w:p>
      <w:pPr>
        <w:pStyle w:val="ListBullet"/>
        <w:ind w:left="360" w:hanging="360"/>
      </w:pPr>
      <w:r>
        <w:rPr>
          <w:rFonts w:ascii="Calibri" w:hAnsi="Calibri"/>
          <w:b/>
          <w:color w:val="525866"/>
          <w:sz w:val="22"/>
        </w:rPr>
        <w:t>April 21, 2026 — Separation Update: On Track for Q1 2027; Dis-synergies Confirmed at $100–$150M</w:t>
      </w:r>
      <w:r>
        <w:rPr>
          <w:rFonts w:ascii="Calibri" w:hAnsi="Calibri"/>
          <w:color w:val="525866"/>
          <w:sz w:val="22"/>
        </w:rPr>
        <w:t xml:space="preserve">: Management confirmed the planned separation of Global Automotive and Global Industrial into two independent public companies remains on track for Q1 2027. Dis-synergy and standalone cost estimates of $100–$150M run-rate confirmed in line with initial estimates. Investor days for each SpinCo planned for H2 2026. </w:t>
      </w:r>
      <w:r>
        <w:rPr>
          <w:rFonts w:ascii="Calibri" w:hAnsi="Calibri"/>
          <w:b/>
          <w:color w:val="525866"/>
          <w:sz w:val="22"/>
        </w:rPr>
        <w:t xml:space="preserve">Implication: </w:t>
      </w:r>
      <w:r>
        <w:rPr>
          <w:rFonts w:ascii="Calibri" w:hAnsi="Calibri"/>
          <w:color w:val="525866"/>
          <w:sz w:val="22"/>
        </w:rPr>
        <w:t>The O'Reilly bid, if consummated, would alter or accelerate the separation timeline — management commentary on how the bid interacts with the separation plan is critical.</w:t>
      </w:r>
    </w:p>
    <w:p>
      <w:pPr>
        <w:pStyle w:val="ListBullet"/>
        <w:ind w:left="360" w:hanging="360"/>
      </w:pPr>
      <w:r>
        <w:rPr>
          <w:rFonts w:ascii="Calibri" w:hAnsi="Calibri"/>
          <w:b/>
          <w:color w:val="525866"/>
          <w:sz w:val="22"/>
        </w:rPr>
        <w:t>April 21, 2026 — Iran Conflict: Q2 EBITDA Headwind Quantified at $10–20M Net</w:t>
      </w:r>
      <w:r>
        <w:rPr>
          <w:rFonts w:ascii="Calibri" w:hAnsi="Calibri"/>
          <w:color w:val="525866"/>
          <w:sz w:val="22"/>
        </w:rPr>
        <w:t xml:space="preserve">: Management quantified the Iran conflict impact as a $10–20M net EBITDA headwind in Q2, driven by freight-in, freight-out, and fuel costs, partially offset by pricing pass-through. Middle East sourcing is &lt;0.5% of total purchases. Consumer behavior remained "fairly resilient" in March. </w:t>
      </w:r>
      <w:r>
        <w:rPr>
          <w:rFonts w:ascii="Calibri" w:hAnsi="Calibri"/>
          <w:b/>
          <w:color w:val="525866"/>
          <w:sz w:val="22"/>
        </w:rPr>
        <w:t xml:space="preserve">Implication: </w:t>
      </w:r>
      <w:r>
        <w:rPr>
          <w:rFonts w:ascii="Calibri" w:hAnsi="Calibri"/>
          <w:color w:val="525866"/>
          <w:sz w:val="22"/>
        </w:rPr>
        <w:t>Q2 results will be the first hard data point on whether the headwind came in at the low or high end of the range — the key margin swing factor for the quarter.</w:t>
      </w:r>
    </w:p>
    <w:p>
      <w:pPr>
        <w:pStyle w:val="ListBullet"/>
        <w:ind w:left="360" w:hanging="360"/>
      </w:pPr>
      <w:r>
        <w:rPr>
          <w:rFonts w:ascii="Calibri" w:hAnsi="Calibri"/>
          <w:b/>
          <w:color w:val="525866"/>
          <w:sz w:val="22"/>
        </w:rPr>
        <w:t>April 21, 2026 — Tariff Environment Described as "Normalized"</w:t>
      </w:r>
      <w:r>
        <w:rPr>
          <w:rFonts w:ascii="Calibri" w:hAnsi="Calibri"/>
          <w:color w:val="525866"/>
          <w:sz w:val="22"/>
        </w:rPr>
        <w:t xml:space="preserve">: Management characterized the tariff environment as having "found its normalized point," with supplier pricing requests resembling routine annual negotiations rather than tariff-specific demands. Pricing benefit expected at ~2% for FY 2026, split evenly between tariff and general inflation. </w:t>
      </w:r>
      <w:r>
        <w:rPr>
          <w:rFonts w:ascii="Calibri" w:hAnsi="Calibri"/>
          <w:b/>
          <w:color w:val="525866"/>
          <w:sz w:val="22"/>
        </w:rPr>
        <w:t xml:space="preserve">Implication: </w:t>
      </w:r>
      <w:r>
        <w:rPr>
          <w:rFonts w:ascii="Calibri" w:hAnsi="Calibri"/>
          <w:color w:val="525866"/>
          <w:sz w:val="22"/>
        </w:rPr>
        <w:t>Tariff risk is largely de-risked for GPC; the focus has shifted to Iran and demand.</w:t>
      </w:r>
    </w:p>
    <w:p>
      <w:pPr>
        <w:pStyle w:val="ListBullet"/>
        <w:ind w:left="360" w:hanging="360"/>
      </w:pPr>
      <w:r>
        <w:rPr>
          <w:rFonts w:ascii="Calibri" w:hAnsi="Calibri"/>
          <w:b/>
          <w:color w:val="525866"/>
          <w:sz w:val="22"/>
        </w:rPr>
        <w:t>July 20, 2026 — Canada Tariff Threat (50% on Most Canadian Goods)</w:t>
      </w:r>
      <w:r>
        <w:rPr>
          <w:rFonts w:ascii="Calibri" w:hAnsi="Calibri"/>
          <w:color w:val="525866"/>
          <w:sz w:val="22"/>
        </w:rPr>
        <w:t xml:space="preserve">: President Trump announced potential 50% tariffs on most Canadian goods effective in 30 days. Canada is a meaningful market for GPC's automotive distribution network. </w:t>
      </w:r>
      <w:r>
        <w:rPr>
          <w:rFonts w:ascii="Calibri" w:hAnsi="Calibri"/>
          <w:b/>
          <w:color w:val="525866"/>
          <w:sz w:val="22"/>
        </w:rPr>
        <w:t xml:space="preserve">Implication: </w:t>
      </w:r>
      <w:r>
        <w:rPr>
          <w:rFonts w:ascii="Calibri" w:hAnsi="Calibri"/>
          <w:color w:val="525866"/>
          <w:sz w:val="22"/>
        </w:rPr>
        <w:t>If enacted, could create incremental cost and demand headwinds for GPC's Canadian operations in H2 2026.</w:t>
      </w:r>
    </w:p>
    <w:p>
      <w:pPr>
        <w:pStyle w:val="ListBullet"/>
        <w:ind w:left="360" w:hanging="360"/>
      </w:pPr>
      <w:r>
        <w:rPr>
          <w:rFonts w:ascii="Calibri" w:hAnsi="Calibri"/>
          <w:b/>
          <w:color w:val="525866"/>
          <w:sz w:val="22"/>
        </w:rPr>
        <w:t>July 14–17, 2026 — Analyst Rating/PT Activity</w:t>
      </w:r>
      <w:r>
        <w:rPr>
          <w:rFonts w:ascii="Calibri" w:hAnsi="Calibri"/>
          <w:color w:val="525866"/>
          <w:sz w:val="22"/>
        </w:rPr>
        <w:t>: No specific GPC analyst rating changes identified in the research window. UBS (Michael Lasser) commented on the O'Reilly bid on July 6, flagging FTC risk and structural complexity but not issuing a formal rating change.</w:t>
      </w:r>
    </w:p>
    <w:p>
      <w:r>
        <w:br w:type="page"/>
      </w:r>
    </w:p>
    <w:p>
      <w:pPr>
        <w:pStyle w:val="Heading1"/>
        <w:pBdr>
          <w:bottom w:val="single" w:sz="4" w:space="1" w:color="FB9120"/>
        </w:pBdr>
      </w:pPr>
      <w:r>
        <w:rPr>
          <w:rFonts w:ascii="Calibri" w:hAnsi="Calibri"/>
          <w:b/>
          <w:color w:val="3B4259"/>
          <w:sz w:val="40"/>
        </w:rPr>
        <w:t>7. Peer Commentary Read-Throughs (Last 60 Days)</w:t>
      </w:r>
    </w:p>
    <w:p>
      <w:r>
        <w:rPr>
          <w:rFonts w:ascii="Calibri" w:hAnsi="Calibri"/>
          <w:b/>
          <w:color w:val="525866"/>
          <w:sz w:val="22"/>
        </w:rPr>
        <w:t xml:space="preserve">Key Takeaway: </w:t>
      </w:r>
      <w:r>
        <w:rPr>
          <w:rFonts w:ascii="Calibri" w:hAnsi="Calibri"/>
          <w:color w:val="525866"/>
          <w:sz w:val="22"/>
        </w:rPr>
        <w:t xml:space="preserve">Forward-looking commentary from AAP (Q1 2026 call, May 21) and AZO (Q3 FY2026 call, May 26) provides meaningful read-throughs for GPC's Q2 2026 print. Both peers signal </w:t>
      </w:r>
      <w:r>
        <w:rPr>
          <w:rFonts w:ascii="Calibri" w:hAnsi="Calibri"/>
          <w:b/>
          <w:color w:val="525866"/>
          <w:sz w:val="22"/>
        </w:rPr>
        <w:t>moderating but positive comp trends, persistent low-single-digit inflation, Pro outperforming DIY, and resilient underlying demand</w:t>
      </w:r>
      <w:r>
        <w:rPr>
          <w:rFonts w:ascii="Calibri" w:hAnsi="Calibri"/>
          <w:color w:val="525866"/>
          <w:sz w:val="22"/>
        </w:rPr>
        <w:t xml:space="preserve"> — all constructive for GPC's automotive segment. Note: Only forward-looking commentary about each peer's current unreported quarter is included below; backward-looking commentary about their just-reported results is excluded.</w:t>
      </w:r>
    </w:p>
    <w:p>
      <w:r>
        <w:rPr>
          <w:rFonts w:ascii="Calibri" w:hAnsi="Calibri"/>
          <w:b/>
          <w:i/>
          <w:color w:val="525866"/>
          <w:sz w:val="22"/>
        </w:rPr>
        <w:t xml:space="preserve">Important Scope Note: </w:t>
      </w:r>
      <w:r>
        <w:rPr>
          <w:rFonts w:ascii="Calibri" w:hAnsi="Calibri"/>
          <w:i/>
          <w:color w:val="525866"/>
          <w:sz w:val="22"/>
        </w:rPr>
        <w:t>AAP reported Q1 2026 on May 21, 2026 and is currently in Q2 2026 (unreported). AZO reported Q3 FY2026 on May 26, 2026 and is currently in Q4 FY2026 (unreported, ending August 2026). The commentary below reflects only their forward-looking statements about their respective current unreported quarters, which overlap with GPC's Q2 2026 calendar period.</w:t>
      </w:r>
    </w:p>
    <w:p>
      <w:pPr>
        <w:pStyle w:val="Heading2"/>
      </w:pPr>
      <w:r>
        <w:rPr>
          <w:rFonts w:ascii="Calibri" w:hAnsi="Calibri"/>
          <w:b/>
          <w:color w:val="3B4259"/>
          <w:sz w:val="28"/>
        </w:rPr>
        <w:t>Advance Auto Parts (AAP) — Q1 2026 Earnings Call (May 21, 2026)</w:t>
      </w:r>
    </w:p>
    <w:p>
      <w:r>
        <w:rPr>
          <w:rFonts w:ascii="Calibri" w:hAnsi="Calibri"/>
          <w:color w:val="525866"/>
          <w:sz w:val="22"/>
        </w:rPr>
        <w:t>Forward-looking commentary about Q2 2026 and beyond (AAP's current unreported quarter):</w:t>
      </w:r>
    </w:p>
    <w:p>
      <w:pPr>
        <w:pStyle w:val="ListBullet"/>
        <w:ind w:left="360" w:hanging="360"/>
      </w:pPr>
      <w:r>
        <w:rPr>
          <w:rFonts w:ascii="Calibri" w:hAnsi="Calibri"/>
          <w:b/>
          <w:color w:val="525866"/>
          <w:sz w:val="22"/>
        </w:rPr>
        <w:t xml:space="preserve">Comps Expected to Moderate but Remain Positive in Q2: </w:t>
      </w:r>
      <w:r>
        <w:rPr>
          <w:rFonts w:ascii="Calibri" w:hAnsi="Calibri"/>
          <w:color w:val="525866"/>
          <w:sz w:val="22"/>
        </w:rPr>
        <w:t xml:space="preserve">CFO Ryan Grimsland stated: "In Q2, we expect comps to moderate a little bit from Q1, and that's consistent with how we planned earlier in the year. We expect comps in line with our guidance range, so still in that ballpark." AAP does not expect major tax refund tailwinds in Q2 and began lapping inflation in the second half of Q2. </w:t>
      </w:r>
      <w:r>
        <w:rPr>
          <w:rFonts w:ascii="Calibri" w:hAnsi="Calibri"/>
          <w:b/>
          <w:color w:val="525866"/>
          <w:sz w:val="22"/>
        </w:rPr>
        <w:t xml:space="preserve">GPC Read-Through: </w:t>
      </w:r>
      <w:r>
        <w:rPr>
          <w:rFonts w:ascii="Calibri" w:hAnsi="Calibri"/>
          <w:color w:val="525866"/>
          <w:sz w:val="22"/>
        </w:rPr>
        <w:t>Consistent with GPC management's own guidance that Q2 core revenue growth would be "pretty steady" — supports the ~2.9% comp consensus for GPC Q2.</w:t>
      </w:r>
    </w:p>
    <w:p>
      <w:pPr>
        <w:pStyle w:val="ListBullet"/>
        <w:ind w:left="360" w:hanging="360"/>
      </w:pPr>
      <w:r>
        <w:rPr>
          <w:rFonts w:ascii="Calibri" w:hAnsi="Calibri"/>
          <w:b/>
          <w:color w:val="525866"/>
          <w:sz w:val="22"/>
        </w:rPr>
        <w:t xml:space="preserve">Consumer Spending Volatility Being Monitored: </w:t>
      </w:r>
      <w:r>
        <w:rPr>
          <w:rFonts w:ascii="Calibri" w:hAnsi="Calibri"/>
          <w:color w:val="525866"/>
          <w:sz w:val="22"/>
        </w:rPr>
        <w:t xml:space="preserve">AAP noted it is "monitoring kind of like potential increased volatility in consumer spend as we go through the quarter" and that "consumer household budgets are pressured right now." Higher gas prices may introduce "temporary fluctuations in demand." </w:t>
      </w:r>
      <w:r>
        <w:rPr>
          <w:rFonts w:ascii="Calibri" w:hAnsi="Calibri"/>
          <w:b/>
          <w:color w:val="525866"/>
          <w:sz w:val="22"/>
        </w:rPr>
        <w:t xml:space="preserve">GPC Read-Through: </w:t>
      </w:r>
      <w:r>
        <w:rPr>
          <w:rFonts w:ascii="Calibri" w:hAnsi="Calibri"/>
          <w:color w:val="525866"/>
          <w:sz w:val="22"/>
        </w:rPr>
        <w:t>Validates GPC management's cautious demand assumptions for Q2 — elevated fuel costs from the Iran conflict could suppress miles driven and DIY demand, consistent with GPC's $10–20M EBITDA headwind guidance.</w:t>
      </w:r>
    </w:p>
    <w:p>
      <w:pPr>
        <w:pStyle w:val="ListBullet"/>
        <w:ind w:left="360" w:hanging="360"/>
      </w:pPr>
      <w:r>
        <w:rPr>
          <w:rFonts w:ascii="Calibri" w:hAnsi="Calibri"/>
          <w:b/>
          <w:color w:val="525866"/>
          <w:sz w:val="22"/>
        </w:rPr>
        <w:t xml:space="preserve">Pro Expected to Outperform DIY in Q2: </w:t>
      </w:r>
      <w:r>
        <w:rPr>
          <w:rFonts w:ascii="Calibri" w:hAnsi="Calibri"/>
          <w:color w:val="525866"/>
          <w:sz w:val="22"/>
        </w:rPr>
        <w:t xml:space="preserve">AAP guided that "Pro to outperform DIY with both channels contributing positively to comp growth," driven by "a gradual improvement in transactions with initiatives focused on enhancing availability and service levels." </w:t>
      </w:r>
      <w:r>
        <w:rPr>
          <w:rFonts w:ascii="Calibri" w:hAnsi="Calibri"/>
          <w:b/>
          <w:color w:val="525866"/>
          <w:sz w:val="22"/>
        </w:rPr>
        <w:t xml:space="preserve">GPC Read-Through: </w:t>
      </w:r>
      <w:r>
        <w:rPr>
          <w:rFonts w:ascii="Calibri" w:hAnsi="Calibri"/>
          <w:color w:val="525866"/>
          <w:sz w:val="22"/>
        </w:rPr>
        <w:t>GPC's NAPA business has a strong professional orientation. Pro outperformance is a positive signal for GPC's automotive segment mix, as professional customers are less sensitive to near-term consumer budget pressure.</w:t>
      </w:r>
    </w:p>
    <w:p>
      <w:pPr>
        <w:pStyle w:val="ListBullet"/>
        <w:ind w:left="360" w:hanging="360"/>
      </w:pPr>
      <w:r>
        <w:rPr>
          <w:rFonts w:ascii="Calibri" w:hAnsi="Calibri"/>
          <w:b/>
          <w:color w:val="525866"/>
          <w:sz w:val="22"/>
        </w:rPr>
        <w:t xml:space="preserve">Same-SKU Inflation of 2–3% for Full Year, Front-Half Weighted: </w:t>
      </w:r>
      <w:r>
        <w:rPr>
          <w:rFonts w:ascii="Calibri" w:hAnsi="Calibri"/>
          <w:color w:val="525866"/>
          <w:sz w:val="22"/>
        </w:rPr>
        <w:t xml:space="preserve">AAP guided same-SKU inflation of "2% to 3% range for the year," with the first half "more towards the high end." The tariff environment has "not altered our inflation expectations." </w:t>
      </w:r>
      <w:r>
        <w:rPr>
          <w:rFonts w:ascii="Calibri" w:hAnsi="Calibri"/>
          <w:b/>
          <w:color w:val="525866"/>
          <w:sz w:val="22"/>
        </w:rPr>
        <w:t xml:space="preserve">GPC Read-Through: </w:t>
      </w:r>
      <w:r>
        <w:rPr>
          <w:rFonts w:ascii="Calibri" w:hAnsi="Calibri"/>
          <w:color w:val="525866"/>
          <w:sz w:val="22"/>
        </w:rPr>
        <w:t>Consistent with GPC's own ~2% pricing benefit assumption (split evenly tariff/inflation). Supports GPC's gross margin expansion guidance of 40–60 bps for FY 2026.</w:t>
      </w:r>
    </w:p>
    <w:p>
      <w:pPr>
        <w:pStyle w:val="ListBullet"/>
        <w:ind w:left="360" w:hanging="360"/>
      </w:pPr>
      <w:r>
        <w:rPr>
          <w:rFonts w:ascii="Calibri" w:hAnsi="Calibri"/>
          <w:b/>
          <w:color w:val="525866"/>
          <w:sz w:val="22"/>
        </w:rPr>
        <w:t xml:space="preserve">Q2 and Q3 Seasonally Higher Margin Periods: </w:t>
      </w:r>
      <w:r>
        <w:rPr>
          <w:rFonts w:ascii="Calibri" w:hAnsi="Calibri"/>
          <w:color w:val="525866"/>
          <w:sz w:val="22"/>
        </w:rPr>
        <w:t xml:space="preserve">AAP CFO noted "Q2 and Q3 seasonally higher margin periods for us. So expect that to tick up a little bit" with "EBIT margin around the high end of our full year guidance for Q2 and Q3." </w:t>
      </w:r>
      <w:r>
        <w:rPr>
          <w:rFonts w:ascii="Calibri" w:hAnsi="Calibri"/>
          <w:b/>
          <w:color w:val="525866"/>
          <w:sz w:val="22"/>
        </w:rPr>
        <w:t xml:space="preserve">GPC Read-Through: </w:t>
      </w:r>
      <w:r>
        <w:rPr>
          <w:rFonts w:ascii="Calibri" w:hAnsi="Calibri"/>
          <w:color w:val="525866"/>
          <w:sz w:val="22"/>
        </w:rPr>
        <w:t>Seasonal margin tailwind is an industry-wide dynamic. Supports the expectation that GPC's Q2 EBITDA margin (consensus 8.66%) should be above Q1's 7.91%, consistent with the historical pattern.</w:t>
      </w:r>
    </w:p>
    <w:p>
      <w:pPr>
        <w:pStyle w:val="ListBullet"/>
        <w:ind w:left="360" w:hanging="360"/>
      </w:pPr>
      <w:r>
        <w:rPr>
          <w:rFonts w:ascii="Calibri" w:hAnsi="Calibri"/>
          <w:b/>
          <w:color w:val="525866"/>
          <w:sz w:val="22"/>
        </w:rPr>
        <w:t xml:space="preserve">Long-Term Fundamentals Remain Intact: </w:t>
      </w:r>
      <w:r>
        <w:rPr>
          <w:rFonts w:ascii="Calibri" w:hAnsi="Calibri"/>
          <w:color w:val="525866"/>
          <w:sz w:val="22"/>
        </w:rPr>
        <w:t xml:space="preserve">AAP reiterated confidence in "robust underlying fundamentals, including an aging vehicle population, growing car park and increasing miles driven" as long-term demand drivers. </w:t>
      </w:r>
      <w:r>
        <w:rPr>
          <w:rFonts w:ascii="Calibri" w:hAnsi="Calibri"/>
          <w:b/>
          <w:color w:val="525866"/>
          <w:sz w:val="22"/>
        </w:rPr>
        <w:t xml:space="preserve">GPC Read-Through: </w:t>
      </w:r>
      <w:r>
        <w:rPr>
          <w:rFonts w:ascii="Calibri" w:hAnsi="Calibri"/>
          <w:color w:val="525866"/>
          <w:sz w:val="22"/>
        </w:rPr>
        <w:t>Structural tailwinds for the auto aftermarket remain intact, supporting GPC's multi-year growth framework regardless of near-term Iran/macro noise.</w:t>
      </w:r>
    </w:p>
    <w:p>
      <w:pPr>
        <w:pStyle w:val="Heading2"/>
      </w:pPr>
      <w:r>
        <w:rPr>
          <w:rFonts w:ascii="Calibri" w:hAnsi="Calibri"/>
          <w:b/>
          <w:color w:val="3B4259"/>
          <w:sz w:val="28"/>
        </w:rPr>
        <w:t>AutoZone (AZO) — Q3 FY2026 Earnings Call (May 26, 2026)</w:t>
      </w:r>
    </w:p>
    <w:p>
      <w:r>
        <w:rPr>
          <w:rFonts w:ascii="Calibri" w:hAnsi="Calibri"/>
          <w:color w:val="525866"/>
          <w:sz w:val="22"/>
        </w:rPr>
        <w:t>Forward-looking commentary about Q4 FY2026 (AZO's current unreported quarter, ending August 2026, overlapping with GPC's Q2 2026 calendar period):</w:t>
      </w:r>
    </w:p>
    <w:p>
      <w:pPr>
        <w:pStyle w:val="ListBullet"/>
        <w:ind w:left="360" w:hanging="360"/>
      </w:pPr>
      <w:r>
        <w:rPr>
          <w:rFonts w:ascii="Calibri" w:hAnsi="Calibri"/>
          <w:b/>
          <w:color w:val="525866"/>
          <w:sz w:val="22"/>
        </w:rPr>
        <w:t xml:space="preserve">Solid DIY Performance Expected Over Summer; Hotter-Than-Normal Weather a Tailwind: </w:t>
      </w:r>
      <w:r>
        <w:rPr>
          <w:rFonts w:ascii="Calibri" w:hAnsi="Calibri"/>
          <w:color w:val="525866"/>
          <w:sz w:val="22"/>
        </w:rPr>
        <w:t xml:space="preserve">AZO management stated: "We expect to have solid DIY performance over the upcoming summer" and is "expecting a normal, if not hotter than normal summer," which should benefit heat-related categories. DIY volumes could also improve as AZO begins "lapping that initial deferral" caused by inflation. </w:t>
      </w:r>
      <w:r>
        <w:rPr>
          <w:rFonts w:ascii="Calibri" w:hAnsi="Calibri"/>
          <w:b/>
          <w:color w:val="525866"/>
          <w:sz w:val="22"/>
        </w:rPr>
        <w:t xml:space="preserve">GPC Read-Through: </w:t>
      </w:r>
      <w:r>
        <w:rPr>
          <w:rFonts w:ascii="Calibri" w:hAnsi="Calibri"/>
          <w:color w:val="525866"/>
          <w:sz w:val="22"/>
        </w:rPr>
        <w:t>A hot summer driving season is a positive demand signal for GPC's NAPA automotive segment. Heat-related categories (cooling systems, batteries, A/C parts) are meaningful for both companies.</w:t>
      </w:r>
    </w:p>
    <w:p>
      <w:pPr>
        <w:pStyle w:val="ListBullet"/>
        <w:ind w:left="360" w:hanging="360"/>
      </w:pPr>
      <w:r>
        <w:rPr>
          <w:rFonts w:ascii="Calibri" w:hAnsi="Calibri"/>
          <w:b/>
          <w:color w:val="525866"/>
          <w:sz w:val="22"/>
        </w:rPr>
        <w:t xml:space="preserve">Commercial (Pro) Business Expected to Sustain Strong Performance: </w:t>
      </w:r>
      <w:r>
        <w:rPr>
          <w:rFonts w:ascii="Calibri" w:hAnsi="Calibri"/>
          <w:color w:val="525866"/>
          <w:sz w:val="22"/>
        </w:rPr>
        <w:t xml:space="preserve">AZO stated it "feel[s] very good about how we are performing as we head into Q4" in commercial, with the strong performance expected to continue "even as we cycle tougher comparisons." AZO is "bullish on our growth prospects behind the domestic commercial business that is growing share in a meaningful way." </w:t>
      </w:r>
      <w:r>
        <w:rPr>
          <w:rFonts w:ascii="Calibri" w:hAnsi="Calibri"/>
          <w:b/>
          <w:color w:val="525866"/>
          <w:sz w:val="22"/>
        </w:rPr>
        <w:t xml:space="preserve">GPC Read-Through: </w:t>
      </w:r>
      <w:r>
        <w:rPr>
          <w:rFonts w:ascii="Calibri" w:hAnsi="Calibri"/>
          <w:color w:val="525866"/>
          <w:sz w:val="22"/>
        </w:rPr>
        <w:t>Sustained commercial strength across the industry supports GPC's industrial and automotive professional segments. AZO's aggressive commercial expansion (15 Mega-Hub openings in Q4) intensifies competitive pressure on GPC's NAPA professional business.</w:t>
      </w:r>
    </w:p>
    <w:p>
      <w:pPr>
        <w:pStyle w:val="ListBullet"/>
        <w:ind w:left="360" w:hanging="360"/>
      </w:pPr>
      <w:r>
        <w:rPr>
          <w:rFonts w:ascii="Calibri" w:hAnsi="Calibri"/>
          <w:b/>
          <w:color w:val="525866"/>
          <w:sz w:val="22"/>
        </w:rPr>
        <w:t xml:space="preserve">Same-SKU Inflation Continuing but Moderating in Q4 (Mid-4% Average Ticket): </w:t>
      </w:r>
      <w:r>
        <w:rPr>
          <w:rFonts w:ascii="Calibri" w:hAnsi="Calibri"/>
          <w:color w:val="525866"/>
          <w:sz w:val="22"/>
        </w:rPr>
        <w:t xml:space="preserve">AZO expects "inflation on a same-SKU basis will continue into Q4" but at a "mid-4% range" for average ticket, "a little more muted" than Q3 due to lapping prior-year tariff-driven inflation. "Some of the costs from tariffs, et cetera, are still coming in as we cycle through that inventory." </w:t>
      </w:r>
      <w:r>
        <w:rPr>
          <w:rFonts w:ascii="Calibri" w:hAnsi="Calibri"/>
          <w:b/>
          <w:color w:val="525866"/>
          <w:sz w:val="22"/>
        </w:rPr>
        <w:t xml:space="preserve">GPC Read-Through: </w:t>
      </w:r>
      <w:r>
        <w:rPr>
          <w:rFonts w:ascii="Calibri" w:hAnsi="Calibri"/>
          <w:color w:val="525866"/>
          <w:sz w:val="22"/>
        </w:rPr>
        <w:t>Moderating but persistent inflation is consistent with GPC's ~2% pricing benefit assumption. The lapping dynamic suggests pricing tailwinds will be less pronounced in H2 2026 for GPC as well.</w:t>
      </w:r>
    </w:p>
    <w:p>
      <w:pPr>
        <w:pStyle w:val="ListBullet"/>
        <w:ind w:left="360" w:hanging="360"/>
      </w:pPr>
      <w:r>
        <w:rPr>
          <w:rFonts w:ascii="Calibri" w:hAnsi="Calibri"/>
          <w:b/>
          <w:color w:val="525866"/>
          <w:sz w:val="22"/>
        </w:rPr>
        <w:t xml:space="preserve">International Markets Remain Under Pressure: </w:t>
      </w:r>
      <w:r>
        <w:rPr>
          <w:rFonts w:ascii="Calibri" w:hAnsi="Calibri"/>
          <w:color w:val="525866"/>
          <w:sz w:val="22"/>
        </w:rPr>
        <w:t xml:space="preserve">AZO guided to expect international same-store sales "in a similar range as Q3" and remains "cautious for this upcoming fourth quarter as the consumers in our international markets remain under pressure." </w:t>
      </w:r>
      <w:r>
        <w:rPr>
          <w:rFonts w:ascii="Calibri" w:hAnsi="Calibri"/>
          <w:b/>
          <w:color w:val="525866"/>
          <w:sz w:val="22"/>
        </w:rPr>
        <w:t xml:space="preserve">GPC Read-Through: </w:t>
      </w:r>
      <w:r>
        <w:rPr>
          <w:rFonts w:ascii="Calibri" w:hAnsi="Calibri"/>
          <w:color w:val="525866"/>
          <w:sz w:val="22"/>
        </w:rPr>
        <w:t>GPC has significant international automotive exposure (Europe, Australasia). AZO's caution on international markets is a mild negative read-through for GPC's international automotive segment, though GPC's European business has been showing sequential improvement.</w:t>
      </w:r>
    </w:p>
    <w:p>
      <w:pPr>
        <w:pStyle w:val="ListBullet"/>
        <w:ind w:left="360" w:hanging="360"/>
      </w:pPr>
      <w:r>
        <w:rPr>
          <w:rFonts w:ascii="Calibri" w:hAnsi="Calibri"/>
          <w:b/>
          <w:color w:val="525866"/>
          <w:sz w:val="22"/>
        </w:rPr>
        <w:t xml:space="preserve">Energy/Oil Environment "Pretty Fluid"; Lubricant Constraints Possible but Not Material: </w:t>
      </w:r>
      <w:r>
        <w:rPr>
          <w:rFonts w:ascii="Calibri" w:hAnsi="Calibri"/>
          <w:color w:val="525866"/>
          <w:sz w:val="22"/>
        </w:rPr>
        <w:t xml:space="preserve">AZO characterized the energy and oil situation as "pretty fluid" and expects the environment "to continue to be inflationary," managing the business accordingly. Lubricant constraints are possible but "don't think that it's going to be that material." </w:t>
      </w:r>
      <w:r>
        <w:rPr>
          <w:rFonts w:ascii="Calibri" w:hAnsi="Calibri"/>
          <w:b/>
          <w:color w:val="525866"/>
          <w:sz w:val="22"/>
        </w:rPr>
        <w:t xml:space="preserve">GPC Read-Through: </w:t>
      </w:r>
      <w:r>
        <w:rPr>
          <w:rFonts w:ascii="Calibri" w:hAnsi="Calibri"/>
          <w:color w:val="525866"/>
          <w:sz w:val="22"/>
        </w:rPr>
        <w:t>Validates GPC's Iran-related freight and fuel cost headwind narrative for Q2. The "fluid" characterization suggests the cost environment remained uncertain through the quarter, consistent with GPC's $10–20M EBITDA headwind range.</w:t>
      </w:r>
    </w:p>
    <w:p>
      <w:pPr>
        <w:pStyle w:val="ListBullet"/>
        <w:ind w:left="360" w:hanging="360"/>
      </w:pPr>
      <w:r>
        <w:rPr>
          <w:rFonts w:ascii="Calibri" w:hAnsi="Calibri"/>
          <w:b/>
          <w:color w:val="525866"/>
          <w:sz w:val="22"/>
        </w:rPr>
        <w:t xml:space="preserve">Aging Car Park and Challenging New/Used Car Market Provide Structural Tailwind: </w:t>
      </w:r>
      <w:r>
        <w:rPr>
          <w:rFonts w:ascii="Calibri" w:hAnsi="Calibri"/>
          <w:color w:val="525866"/>
          <w:sz w:val="22"/>
        </w:rPr>
        <w:t xml:space="preserve">AZO noted the market is experiencing "a growing and aging car park and a challenging new and used car sales market for our customers, which continues to provide a tailwind for our business." These dynamics are expected to "continue to drive a resilient DIY business environment for the remainder of FY '26." </w:t>
      </w:r>
      <w:r>
        <w:rPr>
          <w:rFonts w:ascii="Calibri" w:hAnsi="Calibri"/>
          <w:b/>
          <w:color w:val="525866"/>
          <w:sz w:val="22"/>
        </w:rPr>
        <w:t xml:space="preserve">GPC Read-Through: </w:t>
      </w:r>
      <w:r>
        <w:rPr>
          <w:rFonts w:ascii="Calibri" w:hAnsi="Calibri"/>
          <w:color w:val="525866"/>
          <w:sz w:val="22"/>
        </w:rPr>
        <w:t>Structural demand tailwinds are intact across the auto aftermarket. The challenging new/used car market (partly driven by tariffs on auto imports) is a net positive for aftermarket parts demand, benefiting GPC's NAPA segment.</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AAP Signal (Q2 2026 Outlook)</w:t>
            </w:r>
          </w:p>
        </w:tc>
        <w:tc>
          <w:tcPr>
            <w:tcW w:type="dxa" w:w="2160"/>
            <w:shd w:val="clear" w:color="auto" w:fill="3B4259"/>
          </w:tcPr>
          <w:p>
            <w:r>
              <w:rPr>
                <w:rFonts w:ascii="Calibri" w:hAnsi="Calibri"/>
                <w:b/>
                <w:color w:val="FFFFFF"/>
                <w:sz w:val="22"/>
              </w:rPr>
              <w:t>AZO Signal (Q4 FY2026 Outlook)</w:t>
            </w:r>
          </w:p>
        </w:tc>
        <w:tc>
          <w:tcPr>
            <w:tcW w:type="dxa" w:w="2160"/>
            <w:shd w:val="clear" w:color="auto" w:fill="3B4259"/>
          </w:tcPr>
          <w:p>
            <w:r>
              <w:rPr>
                <w:rFonts w:ascii="Calibri" w:hAnsi="Calibri"/>
                <w:b/>
                <w:color w:val="FFFFFF"/>
                <w:sz w:val="22"/>
              </w:rPr>
              <w:t>GPC Implication</w:t>
            </w:r>
          </w:p>
        </w:tc>
      </w:tr>
      <w:tr>
        <w:tc>
          <w:tcPr>
            <w:tcW w:type="dxa" w:w="2160"/>
          </w:tcPr>
          <w:p>
            <w:r>
              <w:rPr>
                <w:rFonts w:ascii="Calibri" w:hAnsi="Calibri"/>
                <w:sz w:val="22"/>
              </w:rPr>
              <w:t>Comp Sales Trend</w:t>
            </w:r>
          </w:p>
        </w:tc>
        <w:tc>
          <w:tcPr>
            <w:tcW w:type="dxa" w:w="2160"/>
          </w:tcPr>
          <w:p>
            <w:r>
              <w:rPr>
                <w:rFonts w:ascii="Calibri" w:hAnsi="Calibri"/>
                <w:sz w:val="22"/>
              </w:rPr>
              <w:t>Moderating but positive; in guidance range</w:t>
            </w:r>
          </w:p>
        </w:tc>
        <w:tc>
          <w:tcPr>
            <w:tcW w:type="dxa" w:w="2160"/>
          </w:tcPr>
          <w:p>
            <w:r>
              <w:rPr>
                <w:rFonts w:ascii="Calibri" w:hAnsi="Calibri"/>
                <w:sz w:val="22"/>
              </w:rPr>
              <w:t>Solid DIY; strong commercial; lapping inflation</w:t>
            </w:r>
          </w:p>
        </w:tc>
        <w:tc>
          <w:tcPr>
            <w:tcW w:type="dxa" w:w="2160"/>
          </w:tcPr>
          <w:p>
            <w:r>
              <w:rPr>
                <w:rFonts w:ascii="Calibri" w:hAnsi="Calibri"/>
                <w:b/>
                <w:color w:val="30A46C"/>
                <w:sz w:val="22"/>
              </w:rPr>
              <w:t>Constructive — supports ~2.9% Q2 comp consensus</w:t>
            </w:r>
          </w:p>
        </w:tc>
      </w:tr>
      <w:tr>
        <w:tc>
          <w:tcPr>
            <w:tcW w:type="dxa" w:w="2160"/>
          </w:tcPr>
          <w:p>
            <w:r>
              <w:rPr>
                <w:rFonts w:ascii="Calibri" w:hAnsi="Calibri"/>
                <w:sz w:val="22"/>
              </w:rPr>
              <w:t>Consumer Demand</w:t>
            </w:r>
          </w:p>
        </w:tc>
        <w:tc>
          <w:tcPr>
            <w:tcW w:type="dxa" w:w="2160"/>
          </w:tcPr>
          <w:p>
            <w:r>
              <w:rPr>
                <w:rFonts w:ascii="Calibri" w:hAnsi="Calibri"/>
                <w:sz w:val="22"/>
              </w:rPr>
              <w:t>Volatile; budget pressure; gas price headwind</w:t>
            </w:r>
          </w:p>
        </w:tc>
        <w:tc>
          <w:tcPr>
            <w:tcW w:type="dxa" w:w="2160"/>
          </w:tcPr>
          <w:p>
            <w:r>
              <w:rPr>
                <w:rFonts w:ascii="Calibri" w:hAnsi="Calibri"/>
                <w:sz w:val="22"/>
              </w:rPr>
              <w:t>Resilient DIY; uncertainty in discretionary</w:t>
            </w:r>
          </w:p>
        </w:tc>
        <w:tc>
          <w:tcPr>
            <w:tcW w:type="dxa" w:w="2160"/>
          </w:tcPr>
          <w:p>
            <w:r>
              <w:rPr>
                <w:rFonts w:ascii="Calibri" w:hAnsi="Calibri"/>
                <w:sz w:val="22"/>
              </w:rPr>
              <w:t>Mixed — validates GPC's cautious Q2 demand assumptions</w:t>
            </w:r>
          </w:p>
        </w:tc>
      </w:tr>
      <w:tr>
        <w:tc>
          <w:tcPr>
            <w:tcW w:type="dxa" w:w="2160"/>
          </w:tcPr>
          <w:p>
            <w:r>
              <w:rPr>
                <w:rFonts w:ascii="Calibri" w:hAnsi="Calibri"/>
                <w:sz w:val="22"/>
              </w:rPr>
              <w:t>Pro vs. DIY Mix</w:t>
            </w:r>
          </w:p>
        </w:tc>
        <w:tc>
          <w:tcPr>
            <w:tcW w:type="dxa" w:w="2160"/>
          </w:tcPr>
          <w:p>
            <w:r>
              <w:rPr>
                <w:rFonts w:ascii="Calibri" w:hAnsi="Calibri"/>
                <w:sz w:val="22"/>
              </w:rPr>
              <w:t>Pro outperforms DIY</w:t>
            </w:r>
          </w:p>
        </w:tc>
        <w:tc>
          <w:tcPr>
            <w:tcW w:type="dxa" w:w="2160"/>
          </w:tcPr>
          <w:p>
            <w:r>
              <w:rPr>
                <w:rFonts w:ascii="Calibri" w:hAnsi="Calibri"/>
                <w:sz w:val="22"/>
              </w:rPr>
              <w:t>Commercial strong; DIY solid</w:t>
            </w:r>
          </w:p>
        </w:tc>
        <w:tc>
          <w:tcPr>
            <w:tcW w:type="dxa" w:w="2160"/>
          </w:tcPr>
          <w:p>
            <w:r>
              <w:rPr>
                <w:rFonts w:ascii="Calibri" w:hAnsi="Calibri"/>
                <w:b/>
                <w:color w:val="30A46C"/>
                <w:sz w:val="22"/>
              </w:rPr>
              <w:t>Positive — GPC's Pro-heavy NAPA mix is favorable</w:t>
            </w:r>
          </w:p>
        </w:tc>
      </w:tr>
      <w:tr>
        <w:tc>
          <w:tcPr>
            <w:tcW w:type="dxa" w:w="2160"/>
          </w:tcPr>
          <w:p>
            <w:r>
              <w:rPr>
                <w:rFonts w:ascii="Calibri" w:hAnsi="Calibri"/>
                <w:sz w:val="22"/>
              </w:rPr>
              <w:t>Inflation / Pricing</w:t>
            </w:r>
          </w:p>
        </w:tc>
        <w:tc>
          <w:tcPr>
            <w:tcW w:type="dxa" w:w="2160"/>
          </w:tcPr>
          <w:p>
            <w:r>
              <w:rPr>
                <w:rFonts w:ascii="Calibri" w:hAnsi="Calibri"/>
                <w:sz w:val="22"/>
              </w:rPr>
              <w:t>2–3% same-SKU; front-half weighted</w:t>
            </w:r>
          </w:p>
        </w:tc>
        <w:tc>
          <w:tcPr>
            <w:tcW w:type="dxa" w:w="2160"/>
          </w:tcPr>
          <w:p>
            <w:r>
              <w:rPr>
                <w:rFonts w:ascii="Calibri" w:hAnsi="Calibri"/>
                <w:sz w:val="22"/>
              </w:rPr>
              <w:t>Mid-4% avg ticket; moderating; lapping tariffs</w:t>
            </w:r>
          </w:p>
        </w:tc>
        <w:tc>
          <w:tcPr>
            <w:tcW w:type="dxa" w:w="2160"/>
          </w:tcPr>
          <w:p>
            <w:r>
              <w:rPr>
                <w:rFonts w:ascii="Calibri" w:hAnsi="Calibri"/>
                <w:sz w:val="22"/>
              </w:rPr>
              <w:t>Neutral — consistent with GPC's ~2% pricing assumption</w:t>
            </w:r>
          </w:p>
        </w:tc>
      </w:tr>
      <w:tr>
        <w:tc>
          <w:tcPr>
            <w:tcW w:type="dxa" w:w="2160"/>
          </w:tcPr>
          <w:p>
            <w:r>
              <w:rPr>
                <w:rFonts w:ascii="Calibri" w:hAnsi="Calibri"/>
                <w:sz w:val="22"/>
              </w:rPr>
              <w:t>International Markets</w:t>
            </w:r>
          </w:p>
        </w:tc>
        <w:tc>
          <w:tcPr>
            <w:tcW w:type="dxa" w:w="2160"/>
          </w:tcPr>
          <w:p>
            <w:r>
              <w:rPr>
                <w:rFonts w:ascii="Calibri" w:hAnsi="Calibri"/>
                <w:sz w:val="22"/>
              </w:rPr>
              <w:t>N/A (domestic focus)</w:t>
            </w:r>
          </w:p>
        </w:tc>
        <w:tc>
          <w:tcPr>
            <w:tcW w:type="dxa" w:w="2160"/>
          </w:tcPr>
          <w:p>
            <w:r>
              <w:rPr>
                <w:rFonts w:ascii="Calibri" w:hAnsi="Calibri"/>
                <w:sz w:val="22"/>
              </w:rPr>
              <w:t>Cautious; consumers under pressure</w:t>
            </w:r>
          </w:p>
        </w:tc>
        <w:tc>
          <w:tcPr>
            <w:tcW w:type="dxa" w:w="2160"/>
          </w:tcPr>
          <w:p>
            <w:r>
              <w:rPr>
                <w:rFonts w:ascii="Calibri" w:hAnsi="Calibri"/>
                <w:b/>
                <w:color w:val="E5484D"/>
                <w:sz w:val="22"/>
              </w:rPr>
              <w:t>Mild negative — GPC has significant European exposure</w:t>
            </w:r>
          </w:p>
        </w:tc>
      </w:tr>
      <w:tr>
        <w:tc>
          <w:tcPr>
            <w:tcW w:type="dxa" w:w="2160"/>
          </w:tcPr>
          <w:p>
            <w:r>
              <w:rPr>
                <w:rFonts w:ascii="Calibri" w:hAnsi="Calibri"/>
                <w:sz w:val="22"/>
              </w:rPr>
              <w:t>Energy/Fuel Costs</w:t>
            </w:r>
          </w:p>
        </w:tc>
        <w:tc>
          <w:tcPr>
            <w:tcW w:type="dxa" w:w="2160"/>
          </w:tcPr>
          <w:p>
            <w:r>
              <w:rPr>
                <w:rFonts w:ascii="Calibri" w:hAnsi="Calibri"/>
                <w:sz w:val="22"/>
              </w:rPr>
              <w:t>Some SG&amp;A pressure; not material</w:t>
            </w:r>
          </w:p>
        </w:tc>
        <w:tc>
          <w:tcPr>
            <w:tcW w:type="dxa" w:w="2160"/>
          </w:tcPr>
          <w:p>
            <w:r>
              <w:rPr>
                <w:rFonts w:ascii="Calibri" w:hAnsi="Calibri"/>
                <w:sz w:val="22"/>
              </w:rPr>
              <w:t>"Pretty fluid"; inflationary; lubricant constraints possible</w:t>
            </w:r>
          </w:p>
        </w:tc>
        <w:tc>
          <w:tcPr>
            <w:tcW w:type="dxa" w:w="2160"/>
          </w:tcPr>
          <w:p>
            <w:r>
              <w:rPr>
                <w:rFonts w:ascii="Calibri" w:hAnsi="Calibri"/>
                <w:sz w:val="22"/>
              </w:rPr>
              <w:t>Validates GPC's Iran freight/fuel headwind narrative</w:t>
            </w:r>
          </w:p>
        </w:tc>
      </w:tr>
      <w:tr>
        <w:tc>
          <w:tcPr>
            <w:tcW w:type="dxa" w:w="2160"/>
          </w:tcPr>
          <w:p>
            <w:r>
              <w:rPr>
                <w:rFonts w:ascii="Calibri" w:hAnsi="Calibri"/>
                <w:sz w:val="22"/>
              </w:rPr>
              <w:t>Seasonal Margins</w:t>
            </w:r>
          </w:p>
        </w:tc>
        <w:tc>
          <w:tcPr>
            <w:tcW w:type="dxa" w:w="2160"/>
          </w:tcPr>
          <w:p>
            <w:r>
              <w:rPr>
                <w:rFonts w:ascii="Calibri" w:hAnsi="Calibri"/>
                <w:sz w:val="22"/>
              </w:rPr>
              <w:t>Q2/Q3 seasonally higher; EBIT at high end of guidance</w:t>
            </w:r>
          </w:p>
        </w:tc>
        <w:tc>
          <w:tcPr>
            <w:tcW w:type="dxa" w:w="2160"/>
          </w:tcPr>
          <w:p>
            <w:r>
              <w:rPr>
                <w:rFonts w:ascii="Calibri" w:hAnsi="Calibri"/>
                <w:sz w:val="22"/>
              </w:rPr>
              <w:t>"Pretty solid" Q4 gross margins</w:t>
            </w:r>
          </w:p>
        </w:tc>
        <w:tc>
          <w:tcPr>
            <w:tcW w:type="dxa" w:w="2160"/>
          </w:tcPr>
          <w:p>
            <w:r>
              <w:rPr>
                <w:rFonts w:ascii="Calibri" w:hAnsi="Calibri"/>
                <w:b/>
                <w:color w:val="30A46C"/>
                <w:sz w:val="22"/>
              </w:rPr>
              <w:t>Positive — seasonal tailwind supports Q2 margin step-up vs. Q1</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last earnings is limited to two planned 10b5-1 sales by the President of Motion (Industrial segment) and one planned sale by the SVP/General Counsel — all pre-scheduled and not discretionary. </w:t>
      </w:r>
      <w:r>
        <w:rPr>
          <w:rFonts w:ascii="Calibri" w:hAnsi="Calibri"/>
          <w:b/>
          <w:color w:val="525866"/>
          <w:sz w:val="22"/>
        </w:rPr>
        <w:t>No open-market buys or discretionary sales were identified</w:t>
      </w:r>
      <w:r>
        <w:rPr>
          <w:rFonts w:ascii="Calibri" w:hAnsi="Calibri"/>
          <w:color w:val="525866"/>
          <w:sz w:val="22"/>
        </w:rPr>
        <w:t>; the absence of insider buying ahead of earnings is notable given the stock's significant drawdown to ~$93 in mid-May.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Howe, James F.</w:t>
            </w:r>
          </w:p>
        </w:tc>
        <w:tc>
          <w:tcPr>
            <w:tcW w:type="dxa" w:w="1440"/>
          </w:tcPr>
          <w:p>
            <w:r>
              <w:rPr>
                <w:rFonts w:ascii="Calibri" w:hAnsi="Calibri"/>
                <w:sz w:val="22"/>
              </w:rPr>
              <w:t>President, Motion (Industrial)</w:t>
            </w:r>
          </w:p>
        </w:tc>
        <w:tc>
          <w:tcPr>
            <w:tcW w:type="dxa" w:w="1440"/>
          </w:tcPr>
          <w:p>
            <w:r>
              <w:rPr>
                <w:rFonts w:ascii="Calibri" w:hAnsi="Calibri"/>
                <w:sz w:val="22"/>
              </w:rPr>
              <w:t>10b5-1 Planned Sale</w:t>
            </w:r>
          </w:p>
        </w:tc>
        <w:tc>
          <w:tcPr>
            <w:tcW w:type="dxa" w:w="1440"/>
          </w:tcPr>
          <w:p>
            <w:r>
              <w:rPr>
                <w:rFonts w:ascii="Calibri" w:hAnsi="Calibri"/>
                <w:sz w:val="22"/>
              </w:rPr>
              <w:t>1,392 shares</w:t>
            </w:r>
          </w:p>
        </w:tc>
        <w:tc>
          <w:tcPr>
            <w:tcW w:type="dxa" w:w="1440"/>
          </w:tcPr>
          <w:p>
            <w:r>
              <w:rPr>
                <w:rFonts w:ascii="Calibri" w:hAnsi="Calibri"/>
                <w:sz w:val="22"/>
              </w:rPr>
              <w:t>May 4, 2026</w:t>
            </w:r>
          </w:p>
        </w:tc>
        <w:tc>
          <w:tcPr>
            <w:tcW w:type="dxa" w:w="1440"/>
          </w:tcPr>
          <w:p>
            <w:r>
              <w:rPr>
                <w:rFonts w:ascii="Calibri" w:hAnsi="Calibri"/>
                <w:sz w:val="22"/>
              </w:rPr>
              <w:t>Pre-scheduled 10b5-1 plan; 5.1% of holdings sold; not discretionary.</w:t>
            </w:r>
          </w:p>
        </w:tc>
      </w:tr>
      <w:tr>
        <w:tc>
          <w:tcPr>
            <w:tcW w:type="dxa" w:w="1440"/>
          </w:tcPr>
          <w:p>
            <w:r>
              <w:rPr>
                <w:rFonts w:ascii="Calibri" w:hAnsi="Calibri"/>
                <w:sz w:val="22"/>
              </w:rPr>
              <w:t>Howe, James F.</w:t>
            </w:r>
          </w:p>
        </w:tc>
        <w:tc>
          <w:tcPr>
            <w:tcW w:type="dxa" w:w="1440"/>
          </w:tcPr>
          <w:p>
            <w:r>
              <w:rPr>
                <w:rFonts w:ascii="Calibri" w:hAnsi="Calibri"/>
                <w:sz w:val="22"/>
              </w:rPr>
              <w:t>President, Motion (Industrial)</w:t>
            </w:r>
          </w:p>
        </w:tc>
        <w:tc>
          <w:tcPr>
            <w:tcW w:type="dxa" w:w="1440"/>
          </w:tcPr>
          <w:p>
            <w:r>
              <w:rPr>
                <w:rFonts w:ascii="Calibri" w:hAnsi="Calibri"/>
                <w:sz w:val="22"/>
              </w:rPr>
              <w:t>10b5-1 Planned Sale</w:t>
            </w:r>
          </w:p>
        </w:tc>
        <w:tc>
          <w:tcPr>
            <w:tcW w:type="dxa" w:w="1440"/>
          </w:tcPr>
          <w:p>
            <w:r>
              <w:rPr>
                <w:rFonts w:ascii="Calibri" w:hAnsi="Calibri"/>
                <w:sz w:val="22"/>
              </w:rPr>
              <w:t>415 shares</w:t>
            </w:r>
          </w:p>
        </w:tc>
        <w:tc>
          <w:tcPr>
            <w:tcW w:type="dxa" w:w="1440"/>
          </w:tcPr>
          <w:p>
            <w:r>
              <w:rPr>
                <w:rFonts w:ascii="Calibri" w:hAnsi="Calibri"/>
                <w:sz w:val="22"/>
              </w:rPr>
              <w:t>May 5, 2026</w:t>
            </w:r>
          </w:p>
        </w:tc>
        <w:tc>
          <w:tcPr>
            <w:tcW w:type="dxa" w:w="1440"/>
          </w:tcPr>
          <w:p>
            <w:r>
              <w:rPr>
                <w:rFonts w:ascii="Calibri" w:hAnsi="Calibri"/>
                <w:sz w:val="22"/>
              </w:rPr>
              <w:t>Pre-scheduled 10b5-1 plan; continuation of same plan; not discretionary.</w:t>
            </w:r>
          </w:p>
        </w:tc>
      </w:tr>
      <w:tr>
        <w:tc>
          <w:tcPr>
            <w:tcW w:type="dxa" w:w="1440"/>
          </w:tcPr>
          <w:p>
            <w:r>
              <w:rPr>
                <w:rFonts w:ascii="Calibri" w:hAnsi="Calibri"/>
                <w:sz w:val="22"/>
              </w:rPr>
              <w:t>Galla, Christopher T.</w:t>
            </w:r>
          </w:p>
        </w:tc>
        <w:tc>
          <w:tcPr>
            <w:tcW w:type="dxa" w:w="1440"/>
          </w:tcPr>
          <w:p>
            <w:r>
              <w:rPr>
                <w:rFonts w:ascii="Calibri" w:hAnsi="Calibri"/>
                <w:sz w:val="22"/>
              </w:rPr>
              <w:t>SVP, General Counsel &amp; Corp. Secretary</w:t>
            </w:r>
          </w:p>
        </w:tc>
        <w:tc>
          <w:tcPr>
            <w:tcW w:type="dxa" w:w="1440"/>
          </w:tcPr>
          <w:p>
            <w:r>
              <w:rPr>
                <w:rFonts w:ascii="Calibri" w:hAnsi="Calibri"/>
                <w:sz w:val="22"/>
              </w:rPr>
              <w:t>10b5-1 Planned Sale</w:t>
            </w:r>
          </w:p>
        </w:tc>
        <w:tc>
          <w:tcPr>
            <w:tcW w:type="dxa" w:w="1440"/>
          </w:tcPr>
          <w:p>
            <w:r>
              <w:rPr>
                <w:rFonts w:ascii="Calibri" w:hAnsi="Calibri"/>
                <w:sz w:val="22"/>
              </w:rPr>
              <w:t>2,333 shares</w:t>
            </w:r>
          </w:p>
        </w:tc>
        <w:tc>
          <w:tcPr>
            <w:tcW w:type="dxa" w:w="1440"/>
          </w:tcPr>
          <w:p>
            <w:r>
              <w:rPr>
                <w:rFonts w:ascii="Calibri" w:hAnsi="Calibri"/>
                <w:sz w:val="22"/>
              </w:rPr>
              <w:t>June 26, 2026</w:t>
            </w:r>
          </w:p>
        </w:tc>
        <w:tc>
          <w:tcPr>
            <w:tcW w:type="dxa" w:w="1440"/>
          </w:tcPr>
          <w:p>
            <w:r>
              <w:rPr>
                <w:rFonts w:ascii="Calibri" w:hAnsi="Calibri"/>
                <w:sz w:val="22"/>
              </w:rPr>
              <w:t>Pre-scheduled 10b5-1 plan; 9.6% of holdings sold; not discretionary.</w:t>
            </w:r>
          </w:p>
        </w:tc>
      </w:tr>
    </w:tbl>
    <w:p>
      <w:r>
        <w:rPr>
          <w:rFonts w:ascii="Calibri" w:hAnsi="Calibri"/>
          <w:i/>
          <w:color w:val="525866"/>
          <w:sz w:val="22"/>
        </w:rPr>
        <w:t>Source: SEC Form 4 Filings (Insider Transaction Data). Window: April 21, 2026 – July 20, 2026. Only open-market transactions (Form 4 codes P/S) and 10b5-1 plan sales included.</w:t>
      </w:r>
    </w:p>
    <w:p>
      <w:r>
        <w:rPr>
          <w:rFonts w:ascii="Calibri" w:hAnsi="Calibri"/>
          <w:b/>
          <w:color w:val="525866"/>
          <w:sz w:val="22"/>
        </w:rPr>
        <w:t xml:space="preserve">Commentary: </w:t>
      </w:r>
      <w:r>
        <w:rPr>
          <w:rFonts w:ascii="Calibri" w:hAnsi="Calibri"/>
          <w:color w:val="525866"/>
          <w:sz w:val="22"/>
        </w:rPr>
        <w:t>All three transactions are pre-scheduled 10b5-1 plan sales and carry no informational signal about management's view of the business. The absence of any open-market buying during the stock's significant drawdown to ~$93 in mid-May (when the stock was trading at a meaningful discount to pre-earnings levels) is notable but not necessarily bearish — insiders may have been in blackout periods or constrained by the ongoing strategic review process.</w:t>
      </w:r>
    </w:p>
    <w:p>
      <w:r>
        <w:br w:type="page"/>
      </w:r>
    </w:p>
    <w:p>
      <w:pPr>
        <w:pStyle w:val="Heading1"/>
        <w:pBdr>
          <w:bottom w:val="single" w:sz="4" w:space="1" w:color="FB9120"/>
        </w:pBdr>
      </w:pPr>
      <w:r>
        <w:rPr>
          <w:rFonts w:ascii="Calibri" w:hAnsi="Calibri"/>
          <w:b/>
          <w:color w:val="3B4259"/>
          <w:sz w:val="40"/>
        </w:rPr>
        <w:t>9. Risks &amp; Key Questions for the Call</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 xml:space="preserve">Iran Headwind at High End of Range ($20M): </w:t>
      </w:r>
      <w:r>
        <w:rPr>
          <w:rFonts w:ascii="Calibri" w:hAnsi="Calibri"/>
          <w:color w:val="525866"/>
          <w:sz w:val="22"/>
        </w:rPr>
        <w:t>If freight-in, freight-out, and fuel costs came in at the top of the $10–20M EBITDA headwind range, Q2 EBITDA margin could disappoint vs. the 8.66% consensus. This is the primary downside risk to the operating print.</w:t>
      </w:r>
    </w:p>
    <w:p>
      <w:pPr>
        <w:pStyle w:val="ListBullet"/>
        <w:ind w:left="360" w:hanging="360"/>
      </w:pPr>
      <w:r>
        <w:rPr>
          <w:rFonts w:ascii="Calibri" w:hAnsi="Calibri"/>
          <w:b/>
          <w:color w:val="525866"/>
          <w:sz w:val="22"/>
        </w:rPr>
        <w:t xml:space="preserve">O'Reilly Deal Uncertainty / FTC Risk: </w:t>
      </w:r>
      <w:r>
        <w:rPr>
          <w:rFonts w:ascii="Calibri" w:hAnsi="Calibri"/>
          <w:color w:val="525866"/>
          <w:sz w:val="22"/>
        </w:rPr>
        <w:t>UBS flagged that ~60% of NAPA U.S. stores have an O'Reilly within a 10-minute drive, creating significant store overlap and potential FTC scrutiny. If the deal faces regulatory hurdles or falls apart, the strategic premium in the stock (~10–15% above pre-bid levels) would likely unwind.</w:t>
      </w:r>
    </w:p>
    <w:p>
      <w:pPr>
        <w:pStyle w:val="ListBullet"/>
        <w:ind w:left="360" w:hanging="360"/>
      </w:pPr>
      <w:r>
        <w:rPr>
          <w:rFonts w:ascii="Calibri" w:hAnsi="Calibri"/>
          <w:b/>
          <w:color w:val="525866"/>
          <w:sz w:val="22"/>
        </w:rPr>
        <w:t xml:space="preserve">Canada Tariff Escalation: </w:t>
      </w:r>
      <w:r>
        <w:rPr>
          <w:rFonts w:ascii="Calibri" w:hAnsi="Calibri"/>
          <w:color w:val="525866"/>
          <w:sz w:val="22"/>
        </w:rPr>
        <w:t>President Trump's July 20 announcement of potential 50% tariffs on most Canadian goods (effective in 30 days) could create incremental cost and demand headwinds for GPC's Canadian automotive operations in H2 2026.</w:t>
      </w:r>
    </w:p>
    <w:p>
      <w:pPr>
        <w:pStyle w:val="ListBullet"/>
        <w:ind w:left="360" w:hanging="360"/>
      </w:pPr>
      <w:r>
        <w:rPr>
          <w:rFonts w:ascii="Calibri" w:hAnsi="Calibri"/>
          <w:b/>
          <w:color w:val="525866"/>
          <w:sz w:val="22"/>
        </w:rPr>
        <w:t xml:space="preserve">FX Tailwind Reversal: </w:t>
      </w:r>
      <w:r>
        <w:rPr>
          <w:rFonts w:ascii="Calibri" w:hAnsi="Calibri"/>
          <w:color w:val="525866"/>
          <w:sz w:val="22"/>
        </w:rPr>
        <w:t>Q1 benefited from 320 bps of FX tailwind. Management guided to only ~1 point of FX benefit for the rest of the year. If FX moves adversely, international automotive revenue could disappoint.</w:t>
      </w:r>
    </w:p>
    <w:p>
      <w:pPr>
        <w:pStyle w:val="ListBullet"/>
        <w:ind w:left="360" w:hanging="360"/>
      </w:pPr>
      <w:r>
        <w:rPr>
          <w:rFonts w:ascii="Calibri" w:hAnsi="Calibri"/>
          <w:b/>
          <w:color w:val="525866"/>
          <w:sz w:val="22"/>
        </w:rPr>
        <w:t xml:space="preserve">Independent Owner Purchasing Behavior: </w:t>
      </w:r>
      <w:r>
        <w:rPr>
          <w:rFonts w:ascii="Calibri" w:hAnsi="Calibri"/>
          <w:color w:val="525866"/>
          <w:sz w:val="22"/>
        </w:rPr>
        <w:t>GPC management has flagged independent NAPA store owner purchasing as a key variable. If independent owners continue to manage inventory conservatively, it could weigh on North America automotive comp growth.</w:t>
      </w:r>
    </w:p>
    <w:p>
      <w:pPr>
        <w:pStyle w:val="ListBullet"/>
        <w:ind w:left="360" w:hanging="360"/>
      </w:pPr>
      <w:r>
        <w:rPr>
          <w:rFonts w:ascii="Calibri" w:hAnsi="Calibri"/>
          <w:b/>
          <w:color w:val="525866"/>
          <w:sz w:val="22"/>
        </w:rPr>
        <w:t xml:space="preserve">Separation Dis-synergy Creep: </w:t>
      </w:r>
      <w:r>
        <w:rPr>
          <w:rFonts w:ascii="Calibri" w:hAnsi="Calibri"/>
          <w:color w:val="525866"/>
          <w:sz w:val="22"/>
        </w:rPr>
        <w:t>The $100–$150M run-rate dis-synergy estimate was confirmed "in line with initial estimates" on the Q1 call, but execution risk remains. Any upward revision to standalone costs would be a negative for both SpinCo valuations.</w:t>
      </w:r>
    </w:p>
    <w:p>
      <w:pPr>
        <w:pStyle w:val="Heading2"/>
      </w:pPr>
      <w:r>
        <w:rPr>
          <w:rFonts w:ascii="Calibri" w:hAnsi="Calibri"/>
          <w:b/>
          <w:color w:val="3B4259"/>
          <w:sz w:val="28"/>
        </w:rPr>
        <w:t>Key Questions for Management on the Q2 Call</w:t>
      </w:r>
    </w:p>
    <w:p>
      <w:pPr>
        <w:pStyle w:val="ListNumber"/>
        <w:ind w:left="360" w:hanging="360"/>
      </w:pPr>
      <w:r>
        <w:rPr>
          <w:rFonts w:ascii="Calibri" w:hAnsi="Calibri"/>
          <w:b/>
          <w:color w:val="525866"/>
          <w:sz w:val="22"/>
        </w:rPr>
        <w:t xml:space="preserve">O'Reilly Bid / Strategic Review: </w:t>
      </w:r>
      <w:r>
        <w:rPr>
          <w:rFonts w:ascii="Calibri" w:hAnsi="Calibri"/>
          <w:color w:val="525866"/>
          <w:sz w:val="22"/>
        </w:rPr>
        <w:t>Can you provide any update on the strategic review process for the automotive business? Is the separation plan still the primary path, or is a sale to O'Reilly or another party being actively evaluated? What is the timeline for a decision?</w:t>
      </w:r>
    </w:p>
    <w:p>
      <w:pPr>
        <w:pStyle w:val="ListNumber"/>
        <w:ind w:left="360" w:hanging="360"/>
      </w:pPr>
      <w:r>
        <w:rPr>
          <w:rFonts w:ascii="Calibri" w:hAnsi="Calibri"/>
          <w:b/>
          <w:color w:val="525866"/>
          <w:sz w:val="22"/>
        </w:rPr>
        <w:t xml:space="preserve">Iran Headwind Quantification: </w:t>
      </w:r>
      <w:r>
        <w:rPr>
          <w:rFonts w:ascii="Calibri" w:hAnsi="Calibri"/>
          <w:color w:val="525866"/>
          <w:sz w:val="22"/>
        </w:rPr>
        <w:t>Where did the Q2 Iran-related EBITDA headwind actually land within the $10–20M guidance range? Has the cost environment normalized as you exit Q2, and what is your assumption for H2?</w:t>
      </w:r>
    </w:p>
    <w:p>
      <w:pPr>
        <w:pStyle w:val="ListNumber"/>
        <w:ind w:left="360" w:hanging="360"/>
      </w:pPr>
      <w:r>
        <w:rPr>
          <w:rFonts w:ascii="Calibri" w:hAnsi="Calibri"/>
          <w:b/>
          <w:color w:val="525866"/>
          <w:sz w:val="22"/>
        </w:rPr>
        <w:t xml:space="preserve">Full-Year Guidance: </w:t>
      </w:r>
      <w:r>
        <w:rPr>
          <w:rFonts w:ascii="Calibri" w:hAnsi="Calibri"/>
          <w:color w:val="525866"/>
          <w:sz w:val="22"/>
        </w:rPr>
        <w:t>Given Q1 beat and Q2 Iran headwind now quantified, is there any basis to narrow or raise the $7.50–$8.00 adjusted EPS range? What would need to happen for you to reach the high end?</w:t>
      </w:r>
    </w:p>
    <w:p>
      <w:pPr>
        <w:pStyle w:val="ListNumber"/>
        <w:ind w:left="360" w:hanging="360"/>
      </w:pPr>
      <w:r>
        <w:rPr>
          <w:rFonts w:ascii="Calibri" w:hAnsi="Calibri"/>
          <w:b/>
          <w:color w:val="525866"/>
          <w:sz w:val="22"/>
        </w:rPr>
        <w:t xml:space="preserve">Independent Owner Trends: </w:t>
      </w:r>
      <w:r>
        <w:rPr>
          <w:rFonts w:ascii="Calibri" w:hAnsi="Calibri"/>
          <w:color w:val="525866"/>
          <w:sz w:val="22"/>
        </w:rPr>
        <w:t>How did independent NAPA store owner purchasing trends evolve through Q2? Did the inventory financing initiatives discussed on the Q1 call gain traction?</w:t>
      </w:r>
    </w:p>
    <w:p>
      <w:pPr>
        <w:pStyle w:val="ListNumber"/>
        <w:ind w:left="360" w:hanging="360"/>
      </w:pPr>
      <w:r>
        <w:rPr>
          <w:rFonts w:ascii="Calibri" w:hAnsi="Calibri"/>
          <w:b/>
          <w:color w:val="525866"/>
          <w:sz w:val="22"/>
        </w:rPr>
        <w:t xml:space="preserve">European Market: </w:t>
      </w:r>
      <w:r>
        <w:rPr>
          <w:rFonts w:ascii="Calibri" w:hAnsi="Calibri"/>
          <w:color w:val="525866"/>
          <w:sz w:val="22"/>
        </w:rPr>
        <w:t>You described sequential improvement across all European geographies on the Q1 call. Did that momentum continue into Q2, and how are you thinking about the European macro backdrop for H2?</w:t>
      </w:r>
    </w:p>
    <w:p>
      <w:pPr>
        <w:pStyle w:val="ListNumber"/>
        <w:ind w:left="360" w:hanging="360"/>
      </w:pPr>
      <w:r>
        <w:rPr>
          <w:rFonts w:ascii="Calibri" w:hAnsi="Calibri"/>
          <w:b/>
          <w:color w:val="525866"/>
          <w:sz w:val="22"/>
        </w:rPr>
        <w:t xml:space="preserve">Industrial Segment PMI Leverage: </w:t>
      </w:r>
      <w:r>
        <w:rPr>
          <w:rFonts w:ascii="Calibri" w:hAnsi="Calibri"/>
          <w:color w:val="525866"/>
          <w:sz w:val="22"/>
        </w:rPr>
        <w:t>With PMI above 50 for three consecutive months, are you seeing the demand inflection in the industrial segment that you expected? How much margin leverage can you extract if PMI stays above 50 through H2?</w:t>
      </w:r>
    </w:p>
    <w:p>
      <w:pPr>
        <w:pStyle w:val="ListNumber"/>
        <w:ind w:left="360" w:hanging="360"/>
      </w:pPr>
      <w:r>
        <w:rPr>
          <w:rFonts w:ascii="Calibri" w:hAnsi="Calibri"/>
          <w:b/>
          <w:color w:val="525866"/>
          <w:sz w:val="22"/>
        </w:rPr>
        <w:t xml:space="preserve">Canada Tariff Exposure: </w:t>
      </w:r>
      <w:r>
        <w:rPr>
          <w:rFonts w:ascii="Calibri" w:hAnsi="Calibri"/>
          <w:color w:val="525866"/>
          <w:sz w:val="22"/>
        </w:rPr>
        <w:t>What is GPC's revenue and EBITDA exposure to Canada? How are you thinking about the potential impact of 50% tariffs on Canadian goods if enacted?</w:t>
      </w:r>
    </w:p>
    <w:p>
      <w:r>
        <w:br w:type="page"/>
      </w:r>
    </w:p>
    <w:p>
      <w:pPr>
        <w:pStyle w:val="Heading2"/>
      </w:pPr>
      <w:r>
        <w:rPr>
          <w:rFonts w:ascii="Calibri" w:hAnsi="Calibri"/>
          <w:b/>
          <w:color w:val="3B4259"/>
          <w:sz w:val="28"/>
        </w:rPr>
        <w:t>Valuation Context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GPC Current</w:t>
            </w:r>
          </w:p>
        </w:tc>
        <w:tc>
          <w:tcPr>
            <w:tcW w:type="dxa" w:w="1728"/>
            <w:shd w:val="clear" w:color="auto" w:fill="3B4259"/>
          </w:tcPr>
          <w:p>
            <w:r>
              <w:rPr>
                <w:rFonts w:ascii="Calibri" w:hAnsi="Calibri"/>
                <w:b/>
                <w:color w:val="FFFFFF"/>
                <w:sz w:val="22"/>
              </w:rPr>
              <w:t>Auto Parts Peer Group Avg.</w:t>
            </w:r>
          </w:p>
        </w:tc>
        <w:tc>
          <w:tcPr>
            <w:tcW w:type="dxa" w:w="1728"/>
            <w:shd w:val="clear" w:color="auto" w:fill="3B4259"/>
          </w:tcPr>
          <w:p>
            <w:r>
              <w:rPr>
                <w:rFonts w:ascii="Calibri" w:hAnsi="Calibri"/>
                <w:b/>
                <w:color w:val="FFFFFF"/>
                <w:sz w:val="22"/>
              </w:rPr>
              <w:t>GPC Premium / (Discount)</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NTM P/E</w:t>
            </w:r>
          </w:p>
        </w:tc>
        <w:tc>
          <w:tcPr>
            <w:tcW w:type="dxa" w:w="1728"/>
          </w:tcPr>
          <w:p>
            <w:r>
              <w:rPr>
                <w:rFonts w:ascii="Calibri" w:hAnsi="Calibri"/>
                <w:sz w:val="22"/>
              </w:rPr>
              <w:t>15.4x</w:t>
            </w:r>
          </w:p>
        </w:tc>
        <w:tc>
          <w:tcPr>
            <w:tcW w:type="dxa" w:w="1728"/>
          </w:tcPr>
          <w:p>
            <w:r>
              <w:rPr>
                <w:rFonts w:ascii="Calibri" w:hAnsi="Calibri"/>
                <w:sz w:val="22"/>
              </w:rPr>
              <w:t>~14.1x (peer avg.)</w:t>
            </w:r>
          </w:p>
        </w:tc>
        <w:tc>
          <w:tcPr>
            <w:tcW w:type="dxa" w:w="1728"/>
          </w:tcPr>
          <w:p>
            <w:r>
              <w:rPr>
                <w:rFonts w:ascii="Calibri" w:hAnsi="Calibri"/>
                <w:sz w:val="22"/>
              </w:rPr>
              <w:t>+8.8% premium</w:t>
            </w:r>
          </w:p>
        </w:tc>
        <w:tc>
          <w:tcPr>
            <w:tcW w:type="dxa" w:w="1728"/>
          </w:tcPr>
          <w:p>
            <w:r>
              <w:rPr>
                <w:rFonts w:ascii="Calibri" w:hAnsi="Calibri"/>
                <w:sz w:val="22"/>
              </w:rPr>
              <w:t>Premium reflects strategic optionality (O'Reilly bid / separation). 1Y avg. premium: +4.1%.</w:t>
            </w:r>
          </w:p>
        </w:tc>
      </w:tr>
      <w:tr>
        <w:tc>
          <w:tcPr>
            <w:tcW w:type="dxa" w:w="1728"/>
          </w:tcPr>
          <w:p>
            <w:r>
              <w:rPr>
                <w:rFonts w:ascii="Calibri" w:hAnsi="Calibri"/>
                <w:sz w:val="22"/>
              </w:rPr>
              <w:t>NTM EV/EBITDA</w:t>
            </w:r>
          </w:p>
        </w:tc>
        <w:tc>
          <w:tcPr>
            <w:tcW w:type="dxa" w:w="1728"/>
          </w:tcPr>
          <w:p>
            <w:r>
              <w:rPr>
                <w:rFonts w:ascii="Calibri" w:hAnsi="Calibri"/>
                <w:sz w:val="22"/>
              </w:rPr>
              <w:t>10.6x</w:t>
            </w:r>
          </w:p>
        </w:tc>
        <w:tc>
          <w:tcPr>
            <w:tcW w:type="dxa" w:w="1728"/>
          </w:tcPr>
          <w:p>
            <w:r>
              <w:rPr>
                <w:rFonts w:ascii="Calibri" w:hAnsi="Calibri"/>
                <w:sz w:val="22"/>
              </w:rPr>
              <w:t>N/A (peer avg. not separately computed)</w:t>
            </w:r>
          </w:p>
        </w:tc>
        <w:tc>
          <w:tcPr>
            <w:tcW w:type="dxa" w:w="1728"/>
          </w:tcPr>
          <w:p>
            <w:r>
              <w:rPr>
                <w:rFonts w:ascii="Calibri" w:hAnsi="Calibri"/>
                <w:sz w:val="22"/>
              </w:rPr>
              <w:t>N/A</w:t>
            </w:r>
          </w:p>
        </w:tc>
        <w:tc>
          <w:tcPr>
            <w:tcW w:type="dxa" w:w="1728"/>
          </w:tcPr>
          <w:p>
            <w:r>
              <w:rPr>
                <w:rFonts w:ascii="Calibri" w:hAnsi="Calibri"/>
                <w:sz w:val="22"/>
              </w:rPr>
              <w:t>10.6x vs. 10.66x 1Y ago; multiple essentially flat over 12 months.</w:t>
            </w:r>
          </w:p>
        </w:tc>
      </w:tr>
      <w:tr>
        <w:tc>
          <w:tcPr>
            <w:tcW w:type="dxa" w:w="1728"/>
          </w:tcPr>
          <w:p>
            <w:r>
              <w:rPr>
                <w:rFonts w:ascii="Calibri" w:hAnsi="Calibri"/>
                <w:sz w:val="22"/>
              </w:rPr>
              <w:t>NTM P/FCF</w:t>
            </w:r>
          </w:p>
        </w:tc>
        <w:tc>
          <w:tcPr>
            <w:tcW w:type="dxa" w:w="1728"/>
          </w:tcPr>
          <w:p>
            <w:r>
              <w:rPr>
                <w:rFonts w:ascii="Calibri" w:hAnsi="Calibri"/>
                <w:sz w:val="22"/>
              </w:rPr>
              <w:t>21.3x</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FCF yield ~4.7%; supported by $550–$700M FCF guidance.</w:t>
            </w:r>
          </w:p>
        </w:tc>
      </w:tr>
      <w:tr>
        <w:tc>
          <w:tcPr>
            <w:tcW w:type="dxa" w:w="1728"/>
          </w:tcPr>
          <w:p>
            <w:r>
              <w:rPr>
                <w:rFonts w:ascii="Calibri" w:hAnsi="Calibri"/>
                <w:sz w:val="22"/>
              </w:rPr>
              <w:t>1M Price Return</w:t>
            </w:r>
          </w:p>
        </w:tc>
        <w:tc>
          <w:tcPr>
            <w:tcW w:type="dxa" w:w="1728"/>
          </w:tcPr>
          <w:p>
            <w:r>
              <w:rPr>
                <w:rFonts w:ascii="Calibri" w:hAnsi="Calibri"/>
                <w:sz w:val="22"/>
              </w:rPr>
              <w:t>+15.4%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Driven by O'Reilly bid (Jul 2); ~10.5% from multiple expansion, ~4.9% from earnings.</w:t>
            </w:r>
          </w:p>
        </w:tc>
      </w:tr>
    </w:tbl>
    <w:p>
      <w:r>
        <w:rPr>
          <w:rFonts w:ascii="Calibri" w:hAnsi="Calibri"/>
          <w:i/>
          <w:color w:val="525866"/>
          <w:sz w:val="22"/>
        </w:rPr>
        <w:t>Source: Stock Performance Decomposition Data (NTM multiples as of July 20, 2026). Peer group: Auto Parts sector (MGA, BWA, APTV, LKQ, DORM, GNTX, and others). Peer valuation data from Implied peer valuation tool.</w:t>
      </w:r>
    </w:p>
    <w:p>
      <w:r>
        <w:br w:type="page"/>
      </w:r>
    </w:p>
    <w:p>
      <w:pPr>
        <w:pStyle w:val="Heading2"/>
      </w:pPr>
      <w:r>
        <w:rPr>
          <w:rFonts w:ascii="Calibri" w:hAnsi="Calibri"/>
          <w:b/>
          <w:color w:val="3B4259"/>
          <w:sz w:val="28"/>
        </w:rPr>
        <w:t>EPS Revision Momentum (Trailing 12 Months)</w:t>
      </w:r>
    </w:p>
    <w:p>
      <w:r>
        <w:rPr>
          <w:rFonts w:ascii="Calibri" w:hAnsi="Calibri"/>
          <w:color w:val="525866"/>
          <w:sz w:val="22"/>
        </w:rPr>
        <w:t>The table below shows month-end consensus diluted EPS estimates for GPC's Q2 2026 (next unreported quarter) alongside the stock price, illustrating how estimate revisions and stock performance have tracked over the past year.</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Month-End</w:t>
            </w:r>
          </w:p>
        </w:tc>
        <w:tc>
          <w:tcPr>
            <w:tcW w:type="dxa" w:w="2160"/>
            <w:shd w:val="clear" w:color="auto" w:fill="3B4259"/>
          </w:tcPr>
          <w:p>
            <w:r>
              <w:rPr>
                <w:rFonts w:ascii="Calibri" w:hAnsi="Calibri"/>
                <w:b/>
                <w:color w:val="FFFFFF"/>
                <w:sz w:val="22"/>
              </w:rPr>
              <w:t>Q2 2026 Adj. EPS Estimate</w:t>
            </w:r>
          </w:p>
        </w:tc>
        <w:tc>
          <w:tcPr>
            <w:tcW w:type="dxa" w:w="2160"/>
            <w:shd w:val="clear" w:color="auto" w:fill="3B4259"/>
          </w:tcPr>
          <w:p>
            <w:r>
              <w:rPr>
                <w:rFonts w:ascii="Calibri" w:hAnsi="Calibri"/>
                <w:b/>
                <w:color w:val="FFFFFF"/>
                <w:sz w:val="22"/>
              </w:rPr>
              <w:t>GPC Stock Price</w:t>
            </w:r>
          </w:p>
        </w:tc>
        <w:tc>
          <w:tcPr>
            <w:tcW w:type="dxa" w:w="2160"/>
            <w:shd w:val="clear" w:color="auto" w:fill="3B4259"/>
          </w:tcPr>
          <w:p>
            <w:r>
              <w:rPr>
                <w:rFonts w:ascii="Calibri" w:hAnsi="Calibri"/>
                <w:b/>
                <w:color w:val="FFFFFF"/>
                <w:sz w:val="22"/>
              </w:rPr>
              <w:t>Commentary</w:t>
            </w:r>
          </w:p>
        </w:tc>
      </w:tr>
      <w:tr>
        <w:tc>
          <w:tcPr>
            <w:tcW w:type="dxa" w:w="2160"/>
          </w:tcPr>
          <w:p>
            <w:r>
              <w:rPr>
                <w:rFonts w:ascii="Calibri" w:hAnsi="Calibri"/>
                <w:sz w:val="22"/>
              </w:rPr>
              <w:t>Jul 2025</w:t>
            </w:r>
          </w:p>
        </w:tc>
        <w:tc>
          <w:tcPr>
            <w:tcW w:type="dxa" w:w="2160"/>
          </w:tcPr>
          <w:p>
            <w:r>
              <w:rPr>
                <w:rFonts w:ascii="Calibri" w:hAnsi="Calibri"/>
                <w:sz w:val="22"/>
              </w:rPr>
              <w:t>$2.22</w:t>
            </w:r>
          </w:p>
        </w:tc>
        <w:tc>
          <w:tcPr>
            <w:tcW w:type="dxa" w:w="2160"/>
          </w:tcPr>
          <w:p>
            <w:r>
              <w:rPr>
                <w:rFonts w:ascii="Calibri" w:hAnsi="Calibri"/>
                <w:sz w:val="22"/>
              </w:rPr>
              <w:t>$128.88</w:t>
            </w:r>
          </w:p>
        </w:tc>
        <w:tc>
          <w:tcPr>
            <w:tcW w:type="dxa" w:w="2160"/>
          </w:tcPr>
          <w:p>
            <w:r>
              <w:rPr>
                <w:rFonts w:ascii="Calibri" w:hAnsi="Calibri"/>
                <w:sz w:val="22"/>
              </w:rPr>
              <w:t>Baseline; estimates stable</w:t>
            </w:r>
          </w:p>
        </w:tc>
      </w:tr>
      <w:tr>
        <w:tc>
          <w:tcPr>
            <w:tcW w:type="dxa" w:w="2160"/>
          </w:tcPr>
          <w:p>
            <w:r>
              <w:rPr>
                <w:rFonts w:ascii="Calibri" w:hAnsi="Calibri"/>
                <w:sz w:val="22"/>
              </w:rPr>
              <w:t>Oct 2025</w:t>
            </w:r>
          </w:p>
        </w:tc>
        <w:tc>
          <w:tcPr>
            <w:tcW w:type="dxa" w:w="2160"/>
          </w:tcPr>
          <w:p>
            <w:r>
              <w:rPr>
                <w:rFonts w:ascii="Calibri" w:hAnsi="Calibri"/>
                <w:sz w:val="22"/>
              </w:rPr>
              <w:t>$2.24</w:t>
            </w:r>
          </w:p>
        </w:tc>
        <w:tc>
          <w:tcPr>
            <w:tcW w:type="dxa" w:w="2160"/>
          </w:tcPr>
          <w:p>
            <w:r>
              <w:rPr>
                <w:rFonts w:ascii="Calibri" w:hAnsi="Calibri"/>
                <w:sz w:val="22"/>
              </w:rPr>
              <w:t>$127.31</w:t>
            </w:r>
          </w:p>
        </w:tc>
        <w:tc>
          <w:tcPr>
            <w:tcW w:type="dxa" w:w="2160"/>
          </w:tcPr>
          <w:p>
            <w:r>
              <w:rPr>
                <w:rFonts w:ascii="Calibri" w:hAnsi="Calibri"/>
                <w:sz w:val="22"/>
              </w:rPr>
              <w:t>Modest upward drift</w:t>
            </w:r>
          </w:p>
        </w:tc>
      </w:tr>
      <w:tr>
        <w:tc>
          <w:tcPr>
            <w:tcW w:type="dxa" w:w="2160"/>
          </w:tcPr>
          <w:p>
            <w:r>
              <w:rPr>
                <w:rFonts w:ascii="Calibri" w:hAnsi="Calibri"/>
                <w:sz w:val="22"/>
              </w:rPr>
              <w:t>Jan 2026</w:t>
            </w:r>
          </w:p>
        </w:tc>
        <w:tc>
          <w:tcPr>
            <w:tcW w:type="dxa" w:w="2160"/>
          </w:tcPr>
          <w:p>
            <w:r>
              <w:rPr>
                <w:rFonts w:ascii="Calibri" w:hAnsi="Calibri"/>
                <w:sz w:val="22"/>
              </w:rPr>
              <w:t>$2.24</w:t>
            </w:r>
          </w:p>
        </w:tc>
        <w:tc>
          <w:tcPr>
            <w:tcW w:type="dxa" w:w="2160"/>
          </w:tcPr>
          <w:p>
            <w:r>
              <w:rPr>
                <w:rFonts w:ascii="Calibri" w:hAnsi="Calibri"/>
                <w:sz w:val="22"/>
              </w:rPr>
              <w:t>$138.99</w:t>
            </w:r>
          </w:p>
        </w:tc>
        <w:tc>
          <w:tcPr>
            <w:tcW w:type="dxa" w:w="2160"/>
          </w:tcPr>
          <w:p>
            <w:r>
              <w:rPr>
                <w:rFonts w:ascii="Calibri" w:hAnsi="Calibri"/>
                <w:sz w:val="22"/>
              </w:rPr>
              <w:t>Estimates flat; stock at 12M high</w:t>
            </w:r>
          </w:p>
        </w:tc>
      </w:tr>
      <w:tr>
        <w:tc>
          <w:tcPr>
            <w:tcW w:type="dxa" w:w="2160"/>
          </w:tcPr>
          <w:p>
            <w:r>
              <w:rPr>
                <w:rFonts w:ascii="Calibri" w:hAnsi="Calibri"/>
                <w:sz w:val="22"/>
              </w:rPr>
              <w:t>Feb 2026</w:t>
            </w:r>
          </w:p>
        </w:tc>
        <w:tc>
          <w:tcPr>
            <w:tcW w:type="dxa" w:w="2160"/>
          </w:tcPr>
          <w:p>
            <w:r>
              <w:rPr>
                <w:rFonts w:ascii="Calibri" w:hAnsi="Calibri"/>
                <w:sz w:val="22"/>
              </w:rPr>
              <w:t>$1.93</w:t>
            </w:r>
          </w:p>
        </w:tc>
        <w:tc>
          <w:tcPr>
            <w:tcW w:type="dxa" w:w="2160"/>
          </w:tcPr>
          <w:p>
            <w:r>
              <w:rPr>
                <w:rFonts w:ascii="Calibri" w:hAnsi="Calibri"/>
                <w:sz w:val="22"/>
              </w:rPr>
              <w:t>$119.26</w:t>
            </w:r>
          </w:p>
        </w:tc>
        <w:tc>
          <w:tcPr>
            <w:tcW w:type="dxa" w:w="2160"/>
          </w:tcPr>
          <w:p>
            <w:r>
              <w:rPr>
                <w:rFonts w:ascii="Calibri" w:hAnsi="Calibri"/>
                <w:sz w:val="22"/>
              </w:rPr>
              <w:t>Sharp cut — Q4 2025 miss + guidance reset; stock -14%</w:t>
            </w:r>
          </w:p>
        </w:tc>
      </w:tr>
      <w:tr>
        <w:tc>
          <w:tcPr>
            <w:tcW w:type="dxa" w:w="2160"/>
          </w:tcPr>
          <w:p>
            <w:r>
              <w:rPr>
                <w:rFonts w:ascii="Calibri" w:hAnsi="Calibri"/>
                <w:sz w:val="22"/>
              </w:rPr>
              <w:t>Mar 2026</w:t>
            </w:r>
          </w:p>
        </w:tc>
        <w:tc>
          <w:tcPr>
            <w:tcW w:type="dxa" w:w="2160"/>
          </w:tcPr>
          <w:p>
            <w:r>
              <w:rPr>
                <w:rFonts w:ascii="Calibri" w:hAnsi="Calibri"/>
                <w:sz w:val="22"/>
              </w:rPr>
              <w:t>$1.86</w:t>
            </w:r>
          </w:p>
        </w:tc>
        <w:tc>
          <w:tcPr>
            <w:tcW w:type="dxa" w:w="2160"/>
          </w:tcPr>
          <w:p>
            <w:r>
              <w:rPr>
                <w:rFonts w:ascii="Calibri" w:hAnsi="Calibri"/>
                <w:sz w:val="22"/>
              </w:rPr>
              <w:t>$105.75</w:t>
            </w:r>
          </w:p>
        </w:tc>
        <w:tc>
          <w:tcPr>
            <w:tcW w:type="dxa" w:w="2160"/>
          </w:tcPr>
          <w:p>
            <w:r>
              <w:rPr>
                <w:rFonts w:ascii="Calibri" w:hAnsi="Calibri"/>
                <w:sz w:val="22"/>
              </w:rPr>
              <w:t>Further cuts; Iran conflict emerging</w:t>
            </w:r>
          </w:p>
        </w:tc>
      </w:tr>
      <w:tr>
        <w:tc>
          <w:tcPr>
            <w:tcW w:type="dxa" w:w="2160"/>
          </w:tcPr>
          <w:p>
            <w:r>
              <w:rPr>
                <w:rFonts w:ascii="Calibri" w:hAnsi="Calibri"/>
                <w:sz w:val="22"/>
              </w:rPr>
              <w:t>Apr 2026</w:t>
            </w:r>
          </w:p>
        </w:tc>
        <w:tc>
          <w:tcPr>
            <w:tcW w:type="dxa" w:w="2160"/>
          </w:tcPr>
          <w:p>
            <w:r>
              <w:rPr>
                <w:rFonts w:ascii="Calibri" w:hAnsi="Calibri"/>
                <w:sz w:val="22"/>
              </w:rPr>
              <w:t>$1.91</w:t>
            </w:r>
          </w:p>
        </w:tc>
        <w:tc>
          <w:tcPr>
            <w:tcW w:type="dxa" w:w="2160"/>
          </w:tcPr>
          <w:p>
            <w:r>
              <w:rPr>
                <w:rFonts w:ascii="Calibri" w:hAnsi="Calibri"/>
                <w:sz w:val="22"/>
              </w:rPr>
              <w:t>$107.23</w:t>
            </w:r>
          </w:p>
        </w:tc>
        <w:tc>
          <w:tcPr>
            <w:tcW w:type="dxa" w:w="2160"/>
          </w:tcPr>
          <w:p>
            <w:r>
              <w:rPr>
                <w:rFonts w:ascii="Calibri" w:hAnsi="Calibri"/>
                <w:sz w:val="22"/>
              </w:rPr>
              <w:t>Q1 beat; modest estimate recovery</w:t>
            </w:r>
          </w:p>
        </w:tc>
      </w:tr>
      <w:tr>
        <w:tc>
          <w:tcPr>
            <w:tcW w:type="dxa" w:w="2160"/>
          </w:tcPr>
          <w:p>
            <w:r>
              <w:rPr>
                <w:rFonts w:ascii="Calibri" w:hAnsi="Calibri"/>
                <w:sz w:val="22"/>
              </w:rPr>
              <w:t>May 2026</w:t>
            </w:r>
          </w:p>
        </w:tc>
        <w:tc>
          <w:tcPr>
            <w:tcW w:type="dxa" w:w="2160"/>
          </w:tcPr>
          <w:p>
            <w:r>
              <w:rPr>
                <w:rFonts w:ascii="Calibri" w:hAnsi="Calibri"/>
                <w:sz w:val="22"/>
              </w:rPr>
              <w:t>$1.95</w:t>
            </w:r>
          </w:p>
        </w:tc>
        <w:tc>
          <w:tcPr>
            <w:tcW w:type="dxa" w:w="2160"/>
          </w:tcPr>
          <w:p>
            <w:r>
              <w:rPr>
                <w:rFonts w:ascii="Calibri" w:hAnsi="Calibri"/>
                <w:sz w:val="22"/>
              </w:rPr>
              <w:t>$98.70</w:t>
            </w:r>
          </w:p>
        </w:tc>
        <w:tc>
          <w:tcPr>
            <w:tcW w:type="dxa" w:w="2160"/>
          </w:tcPr>
          <w:p>
            <w:r>
              <w:rPr>
                <w:rFonts w:ascii="Calibri" w:hAnsi="Calibri"/>
                <w:sz w:val="22"/>
              </w:rPr>
              <w:t>Estimates recovering; stock at trough</w:t>
            </w:r>
          </w:p>
        </w:tc>
      </w:tr>
      <w:tr>
        <w:tc>
          <w:tcPr>
            <w:tcW w:type="dxa" w:w="2160"/>
          </w:tcPr>
          <w:p>
            <w:r>
              <w:rPr>
                <w:rFonts w:ascii="Calibri" w:hAnsi="Calibri"/>
                <w:sz w:val="22"/>
              </w:rPr>
              <w:t>Jun 2026</w:t>
            </w:r>
          </w:p>
        </w:tc>
        <w:tc>
          <w:tcPr>
            <w:tcW w:type="dxa" w:w="2160"/>
          </w:tcPr>
          <w:p>
            <w:r>
              <w:rPr>
                <w:rFonts w:ascii="Calibri" w:hAnsi="Calibri"/>
                <w:sz w:val="22"/>
              </w:rPr>
              <w:t>$1.93</w:t>
            </w:r>
          </w:p>
        </w:tc>
        <w:tc>
          <w:tcPr>
            <w:tcW w:type="dxa" w:w="2160"/>
          </w:tcPr>
          <w:p>
            <w:r>
              <w:rPr>
                <w:rFonts w:ascii="Calibri" w:hAnsi="Calibri"/>
                <w:sz w:val="22"/>
              </w:rPr>
              <w:t>$117.98</w:t>
            </w:r>
          </w:p>
        </w:tc>
        <w:tc>
          <w:tcPr>
            <w:tcW w:type="dxa" w:w="2160"/>
          </w:tcPr>
          <w:p>
            <w:r>
              <w:rPr>
                <w:rFonts w:ascii="Calibri" w:hAnsi="Calibri"/>
                <w:sz w:val="22"/>
              </w:rPr>
              <w:t>Estimates stable; stock recovering on Iran easing + O'Reilly bid</w:t>
            </w:r>
          </w:p>
        </w:tc>
      </w:tr>
    </w:tbl>
    <w:p>
      <w:r>
        <w:rPr>
          <w:rFonts w:ascii="Calibri" w:hAnsi="Calibri"/>
          <w:i/>
          <w:color w:val="525866"/>
          <w:sz w:val="22"/>
        </w:rPr>
        <w:t>Source: Earnings and Estimate Revision Momentum Data (month-end consensus diluted EPS snapshots). Note: The estimate series reflects the Q2 2026 consensus as it evolved over the trailing 12 months. The sharp cut in Feb 2026 reflects the Q4 2025 miss and guidance reset. The recovery from March onward reflects the Q1 2026 beat and stabilization of the Iran headwind narrative.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