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HAL (Halliburton) to build an earnings preview. Let me start by gathering recent filings, transcripts, and news.I have the schedule. Let me read the most recent transcript (Q1 2026) and the latest earnings release, plus gather peer/macro context.I have strong Q1 2026 detail. Now let me get the year-ago Q2 2025 numbers for comparison, recent stock price action, and peer/macro context.# Halliburton (HAL) — Q2 2026 Earnings Preview</w:t>
      </w:r>
      <w:r>
        <w:t xml:space="preserve"> </w:t>
      </w:r>
      <w:r>
        <w:rPr>
          <w:b/>
          <w:bCs/>
        </w:rPr>
        <w:t xml:space="preserve">Reports:</w:t>
      </w:r>
      <w:r>
        <w:t xml:space="preserve"> </w:t>
      </w:r>
      <w:r>
        <w:t xml:space="preserve">Tuesday, July 21, 2026, before the U.S. open |</w:t>
      </w:r>
      <w:r>
        <w:t xml:space="preserve"> </w:t>
      </w:r>
      <w:r>
        <w:rPr>
          <w:b/>
          <w:bCs/>
        </w:rPr>
        <w:t xml:space="preserve">Call:</w:t>
      </w:r>
      <w:r>
        <w:t xml:space="preserve"> </w:t>
      </w:r>
      <w:r>
        <w:t xml:space="preserve">8:00 a.m. CT</w:t>
      </w:r>
      <w:r>
        <w:t xml:space="preserve"> </w:t>
      </w:r>
      <w:r>
        <w:rPr>
          <w:i/>
          <w:iCs/>
        </w:rPr>
        <w:t xml:space="preserve">(Prices/data as of the July 20, 2026 close)</w:t>
      </w:r>
    </w:p>
    <w:p>
      <w:r>
        <w:pict>
          <v:rect style="width:0;height:1.5pt" o:hralign="center" o:hrstd="t" o:hr="t"/>
        </w:pict>
      </w:r>
    </w:p>
    <w:bookmarkStart w:id="9" w:name="the-one-sentence-setup"/>
    <w:p>
      <w:pPr>
        <w:pStyle w:val="Heading2"/>
      </w:pPr>
      <w:r>
        <w:t xml:space="preserve">The one-sentence setup</w:t>
      </w:r>
    </w:p>
    <w:p>
      <w:pPr>
        <w:pStyle w:val="FirstParagraph"/>
      </w:pPr>
      <w:r>
        <w:t xml:space="preserve">Halliburton heads into Q2 as a company caught between a genuinely improving</w:t>
      </w:r>
      <w:r>
        <w:t xml:space="preserve"> </w:t>
      </w:r>
      <w:r>
        <w:rPr>
          <w:b/>
          <w:bCs/>
        </w:rPr>
        <w:t xml:space="preserve">structural</w:t>
      </w:r>
      <w:r>
        <w:t xml:space="preserve"> </w:t>
      </w:r>
      <w:r>
        <w:t xml:space="preserve">story (a tighter oil market, a nascent North America recovery, and international growth engines firing) and an acute</w:t>
      </w:r>
      <w:r>
        <w:t xml:space="preserve"> </w:t>
      </w:r>
      <w:r>
        <w:rPr>
          <w:b/>
          <w:bCs/>
        </w:rPr>
        <w:t xml:space="preserve">near-term</w:t>
      </w:r>
      <w:r>
        <w:t xml:space="preserve"> </w:t>
      </w:r>
      <w:r>
        <w:t xml:space="preserve">overhang: renewed Middle East conflict that management has already told investors will cost</w:t>
      </w:r>
      <w:r>
        <w:t xml:space="preserve"> </w:t>
      </w:r>
      <m:oMath>
        <m:r>
          <m:t>0.07</m:t>
        </m:r>
        <m:r>
          <m:rPr>
            <m:sty m:val="p"/>
          </m:rPr>
          <m:t>–</m:t>
        </m:r>
      </m:oMath>
      <w:r>
        <w:t xml:space="preserve">0.09 of EPS this quarter — with downside risk if the region's offshore restart slipped.</w:t>
      </w:r>
    </w:p>
    <w:p>
      <w:r>
        <w:pict>
          <v:rect style="width:0;height:1.5pt" o:hralign="center" o:hrstd="t" o:hr="t"/>
        </w:pict>
      </w:r>
    </w:p>
    <w:bookmarkEnd w:id="9"/>
    <w:bookmarkStart w:id="11"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Y/Y</w:t>
            </w:r>
          </w:p>
        </w:tc>
      </w:tr>
      <w:tr>
        <w:tc>
          <w:tcPr/>
          <w:p>
            <w:pPr>
              <w:pStyle w:val="Compact"/>
            </w:pPr>
            <w:r>
              <w:t xml:space="preserve">Revenue</w:t>
            </w:r>
          </w:p>
        </w:tc>
        <w:tc>
          <w:tcPr/>
          <w:p>
            <w:pPr>
              <w:pStyle w:val="Compact"/>
            </w:pPr>
            <w:r>
              <w:t xml:space="preserve">~$5.5B</w:t>
            </w:r>
          </w:p>
        </w:tc>
        <w:tc>
          <w:tcPr/>
          <w:p>
            <w:pPr>
              <w:pStyle w:val="Compact"/>
            </w:pPr>
            <w:r>
              <w:t xml:space="preserve">$5.51B</w:t>
            </w:r>
          </w:p>
        </w:tc>
        <w:tc>
          <w:tcPr/>
          <w:p>
            <w:pPr>
              <w:pStyle w:val="Compact"/>
            </w:pPr>
            <w:r>
              <w:t xml:space="preserve">~Flat</w:t>
            </w:r>
          </w:p>
        </w:tc>
      </w:tr>
      <w:tr>
        <w:tc>
          <w:tcPr/>
          <w:p>
            <w:pPr>
              <w:pStyle w:val="Compact"/>
            </w:pPr>
            <w:r>
              <w:t xml:space="preserve">EPS</w:t>
            </w:r>
          </w:p>
        </w:tc>
        <w:tc>
          <w:tcPr/>
          <w:p>
            <w:pPr>
              <w:pStyle w:val="Compact"/>
            </w:pPr>
            <w:r>
              <w:t xml:space="preserve">~$0.54</w:t>
            </w:r>
          </w:p>
        </w:tc>
        <w:tc>
          <w:tcPr/>
          <w:p>
            <w:pPr>
              <w:pStyle w:val="Compact"/>
            </w:pPr>
            <w:r>
              <w:t xml:space="preserve">$0.55</w:t>
            </w:r>
          </w:p>
        </w:tc>
        <w:tc>
          <w:tcPr/>
          <w:p>
            <w:pPr>
              <w:pStyle w:val="Compact"/>
            </w:pPr>
            <w:r>
              <w:t xml:space="preserve">~Flat</w:t>
            </w:r>
          </w:p>
        </w:tc>
      </w:tr>
    </w:tbl>
    <w:p>
      <w:pPr>
        <w:pStyle w:val="BodyText"/>
      </w:pPr>
      <w:r>
        <w:t xml:space="preserve">Per the pre-print news digest, sentiment had eased somewhat on softer oil prices earlier in the month, but the name is still "generally liked" on healthy fundamentals, cheap valuation, and growing non-oilfield-services exposure (power/VoltaGrid). The bar is essentially "flat," so the report will be judged on</w:t>
      </w:r>
      <w:r>
        <w:t xml:space="preserve"> </w:t>
      </w:r>
      <w:r>
        <w:rPr>
          <w:b/>
          <w:bCs/>
        </w:rPr>
        <w:t xml:space="preserve">guidance and tone</w:t>
      </w:r>
      <w:r>
        <w:t xml:space="preserve">, not the print.</w:t>
      </w:r>
    </w:p>
    <w:bookmarkStart w:id="10" w:name="implied-guidance-math-from-the-q1-call"/>
    <w:p>
      <w:pPr>
        <w:pStyle w:val="Heading3"/>
      </w:pPr>
      <w:r>
        <w:t xml:space="preserve">Implied guidance math from the Q1 call</w:t>
      </w:r>
    </w:p>
    <w:p>
      <w:pPr>
        <w:pStyle w:val="FirstParagraph"/>
      </w:pPr>
      <w:r>
        <w:t xml:space="preserve">Management's Q1 sequential guide points to roughly the consensus zone:</w:t>
      </w:r>
    </w:p>
    <w:p>
      <w:pPr>
        <w:pStyle w:val="Compact"/>
        <w:numPr>
          <w:ilvl w:val="0"/>
          <w:numId w:val="1001"/>
        </w:numPr>
      </w:pPr>
      <w:r>
        <w:rPr>
          <w:b/>
          <w:bCs/>
        </w:rPr>
        <w:t xml:space="preserve">Completion &amp; Production (C&amp;P):</w:t>
      </w:r>
      <w:r>
        <w:t xml:space="preserve"> </w:t>
      </w:r>
      <w:r>
        <w:t xml:space="preserve">revenue +4–6% q/q (off</w:t>
      </w:r>
      <w:r>
        <w:t xml:space="preserve"> </w:t>
      </w:r>
      <m:oMath>
        <m:r>
          <m:t>3</m:t>
        </m:r>
        <m:r>
          <m:rPr>
            <m:sty m:val="p"/>
          </m:rPr>
          <m:t>,</m:t>
        </m:r>
        <m:r>
          <m:t>016</m:t>
        </m:r>
        <m:r>
          <m:t>M</m:t>
        </m:r>
        <m:r>
          <m:rPr>
            <m:sty m:val="p"/>
          </m:rPr>
          <m:t>→</m:t>
        </m:r>
        <m:r>
          <m:t> </m:t>
        </m:r>
      </m:oMath>
      <w:r>
        <w:t xml:space="preserve">3.14–3.20B), margins +50–100 bps</w:t>
      </w:r>
    </w:p>
    <w:p>
      <w:pPr>
        <w:pStyle w:val="Compact"/>
        <w:numPr>
          <w:ilvl w:val="0"/>
          <w:numId w:val="1001"/>
        </w:numPr>
      </w:pPr>
      <w:r>
        <w:rPr>
          <w:b/>
          <w:bCs/>
        </w:rPr>
        <w:t xml:space="preserve">Drilling &amp; Evaluation (D&amp;E):</w:t>
      </w:r>
      <w:r>
        <w:t xml:space="preserve"> </w:t>
      </w:r>
      <w:r>
        <w:t xml:space="preserve">revenue flat to –2% q/q (off</w:t>
      </w:r>
      <w:r>
        <w:t xml:space="preserve"> </w:t>
      </w:r>
      <m:oMath>
        <m:r>
          <m:t>2</m:t>
        </m:r>
        <m:r>
          <m:rPr>
            <m:sty m:val="p"/>
          </m:rPr>
          <m:t>,</m:t>
        </m:r>
        <m:r>
          <m:t>386</m:t>
        </m:r>
        <m:r>
          <m:t>M</m:t>
        </m:r>
        <m:r>
          <m:rPr>
            <m:sty m:val="p"/>
          </m:rPr>
          <m:t>→</m:t>
        </m:r>
        <m:r>
          <m:t> </m:t>
        </m:r>
      </m:oMath>
      <w:r>
        <w:t xml:space="preserve">2.34–2.39B), margins</w:t>
      </w:r>
      <w:r>
        <w:t xml:space="preserve"> </w:t>
      </w:r>
      <w:r>
        <w:rPr>
          <w:b/>
          <w:bCs/>
        </w:rPr>
        <w:t xml:space="preserve">down</w:t>
      </w:r>
      <w:r>
        <w:t xml:space="preserve"> </w:t>
      </w:r>
      <w:r>
        <w:t xml:space="preserve">75–125 bps as seasonal software sales roll off</w:t>
      </w:r>
    </w:p>
    <w:p>
      <w:pPr>
        <w:pStyle w:val="Compact"/>
        <w:numPr>
          <w:ilvl w:val="0"/>
          <w:numId w:val="1001"/>
        </w:numPr>
      </w:pPr>
      <w:r>
        <w:t xml:space="preserve">Blended total lands around</w:t>
      </w:r>
      <w:r>
        <w:t xml:space="preserve"> </w:t>
      </w:r>
      <w:r>
        <w:rPr>
          <w:b/>
          <w:bCs/>
        </w:rPr>
        <w:t xml:space="preserve">$5.5–5.6B</w:t>
      </w:r>
    </w:p>
    <w:p>
      <w:pPr>
        <w:pStyle w:val="Compact"/>
        <w:numPr>
          <w:ilvl w:val="0"/>
          <w:numId w:val="1001"/>
        </w:numPr>
      </w:pPr>
      <w:r>
        <w:t xml:space="preserve">Modeling items: corporate ~</w:t>
      </w:r>
      <m:oMath>
        <m:r>
          <m:t>74</m:t>
        </m:r>
        <m:r>
          <m:t>M</m:t>
        </m:r>
        <m:r>
          <m:rPr>
            <m:sty m:val="p"/>
          </m:rPr>
          <m:t>,</m:t>
        </m:r>
        <m:r>
          <m:t>S</m:t>
        </m:r>
        <m:r>
          <m:t>A</m:t>
        </m:r>
        <m:r>
          <m:t>P</m:t>
        </m:r>
        <m:r>
          <m:t>m</m:t>
        </m:r>
        <m:r>
          <m:t>i</m:t>
        </m:r>
        <m:r>
          <m:t>g</m:t>
        </m:r>
        <m:r>
          <m:t>r</m:t>
        </m:r>
        <m:r>
          <m:t>a</m:t>
        </m:r>
        <m:r>
          <m:t>t</m:t>
        </m:r>
        <m:r>
          <m:t>i</m:t>
        </m:r>
        <m:r>
          <m:t>o</m:t>
        </m:r>
        <m:r>
          <m:t>n</m:t>
        </m:r>
        <m:r>
          <m:t> </m:t>
        </m:r>
      </m:oMath>
      <w:r>
        <w:t xml:space="preserve">45M, net interest ~</w:t>
      </w:r>
      <m:oMath>
        <m:r>
          <m:t>87</m:t>
        </m:r>
        <m:r>
          <m:t>M</m:t>
        </m:r>
        <m:r>
          <m:rPr>
            <m:sty m:val="p"/>
          </m:rPr>
          <m:t>,</m:t>
        </m:r>
        <m:r>
          <m:t>o</m:t>
        </m:r>
        <m:r>
          <m:t>t</m:t>
        </m:r>
        <m:r>
          <m:t>h</m:t>
        </m:r>
        <m:r>
          <m:t>e</m:t>
        </m:r>
        <m:r>
          <m:t>r</m:t>
        </m:r>
        <m:r>
          <m:t>n</m:t>
        </m:r>
        <m:r>
          <m:t>e</m:t>
        </m:r>
        <m:r>
          <m:t>t</m:t>
        </m:r>
        <m:r>
          <m:t> </m:t>
        </m:r>
      </m:oMath>
      <w:r>
        <w:t xml:space="preserve">35M, tax rate ~20%</w:t>
      </w:r>
    </w:p>
    <w:p>
      <w:r>
        <w:pict>
          <v:rect style="width:0;height:1.5pt" o:hralign="center" o:hrstd="t" o:hr="t"/>
        </w:pict>
      </w:r>
    </w:p>
    <w:bookmarkEnd w:id="10"/>
    <w:bookmarkEnd w:id="11"/>
    <w:bookmarkStart w:id="12" w:name="the-dominant-variable-the-middle-east"/>
    <w:p>
      <w:pPr>
        <w:pStyle w:val="Heading2"/>
      </w:pPr>
      <w:r>
        <w:t xml:space="preserve">The dominant variable: the Middle East</w:t>
      </w:r>
    </w:p>
    <w:p>
      <w:pPr>
        <w:pStyle w:val="FirstParagraph"/>
      </w:pPr>
      <w:r>
        <w:t xml:space="preserve">This is the crux of the report. On the Q1 call (April), CFO Eric Carre explicitly baked a</w:t>
      </w:r>
      <w:r>
        <w:t xml:space="preserve"> </w:t>
      </w:r>
      <m:oMath>
        <m:r>
          <m:t>0.07</m:t>
        </m:r>
        <m:r>
          <m:rPr>
            <m:sty m:val="p"/>
          </m:rPr>
          <m:t>–</m:t>
        </m:r>
      </m:oMath>
      <w:r>
        <w:rPr>
          <w:b/>
          <w:bCs/>
        </w:rPr>
        <w:t xml:space="preserve">0.09 per-share hit</w:t>
      </w:r>
      <w:r>
        <w:t xml:space="preserve"> </w:t>
      </w:r>
      <w:r>
        <w:t xml:space="preserve">into Q2 divisional guidance — a step-up from the</w:t>
      </w:r>
      <w:r>
        <w:t xml:space="preserve"> </w:t>
      </w:r>
      <m:oMath>
        <m:r>
          <m:t>0.02</m:t>
        </m:r>
        <m:r>
          <m:rPr>
            <m:sty m:val="p"/>
          </m:rPr>
          <m:t>–</m:t>
        </m:r>
      </m:oMath>
      <w:r>
        <w:t xml:space="preserve">0.03 felt in Q1 — split between lost revenue and inflated logistics/fuel/supply-chain costs from the Strait of Hormuz disruption. Critically, that guide</w:t>
      </w:r>
      <w:r>
        <w:t xml:space="preserve"> </w:t>
      </w:r>
      <w:r>
        <w:rPr>
          <w:b/>
          <w:bCs/>
        </w:rPr>
        <w:t xml:space="preserve">assumed a restart of some offshore work roughly halfway through the quarter</w:t>
      </w:r>
      <w:r>
        <w:t xml:space="preserve">; if that restart was delayed, Carre flagged</w:t>
      </w:r>
      <w:r>
        <w:t xml:space="preserve"> </w:t>
      </w:r>
      <w:r>
        <w:rPr>
          <w:b/>
          <w:bCs/>
        </w:rPr>
        <w:t xml:space="preserve">an additional</w:t>
      </w:r>
      <w:r>
        <w:rPr>
          <w:b/>
          <w:bCs/>
        </w:rPr>
        <w:t xml:space="preserve"> </w:t>
      </w:r>
      <m:oMath>
        <m:r>
          <m:t>0.03</m:t>
        </m:r>
        <m:r>
          <m:rPr>
            <m:sty m:val="p"/>
          </m:rPr>
          <m:t>–</m:t>
        </m:r>
      </m:oMath>
      <w:r>
        <w:rPr>
          <w:b/>
          <w:bCs/>
        </w:rPr>
        <w:t xml:space="preserve">0.05</w:t>
      </w:r>
      <w:r>
        <w:t xml:space="preserve"> </w:t>
      </w:r>
      <w:r>
        <w:t xml:space="preserve">of downside.</w:t>
      </w:r>
    </w:p>
    <w:p>
      <w:pPr>
        <w:pStyle w:val="BodyText"/>
      </w:pPr>
      <w:r>
        <w:t xml:space="preserve">Why this matters now: the macro backdrop deteriorated again into the print. Over the weekend, hostilities re-escalated — Brent pushed</w:t>
      </w:r>
      <w:r>
        <w:t xml:space="preserve"> </w:t>
      </w:r>
      <w:r>
        <w:rPr>
          <w:b/>
          <w:bCs/>
        </w:rPr>
        <w:t xml:space="preserve">back above $90/bbl</w:t>
      </w:r>
      <w:r>
        <w:t xml:space="preserve"> </w:t>
      </w:r>
      <w:r>
        <w:t xml:space="preserve">for the first time since mid-June as the U.S.–Iran ceasefire frayed and Strait of Hormuz tanker traffic thinned, with Iranian strikes hitting Kuwaiti oil/electricity infrastructure. That raises the odds that HAL's assumed mid-quarter offshore restart did</w:t>
      </w:r>
      <w:r>
        <w:t xml:space="preserve"> </w:t>
      </w:r>
      <w:r>
        <w:rPr>
          <w:b/>
          <w:bCs/>
        </w:rPr>
        <w:t xml:space="preserve">not</w:t>
      </w:r>
      <w:r>
        <w:t xml:space="preserve"> </w:t>
      </w:r>
      <w:r>
        <w:t xml:space="preserve">materialize, tilting risk toward the low end (or below) of guidance.</w:t>
      </w:r>
    </w:p>
    <w:p>
      <w:pPr>
        <w:pStyle w:val="BodyText"/>
      </w:pPr>
      <w:r>
        <w:rPr>
          <w:b/>
          <w:bCs/>
        </w:rPr>
        <w:t xml:space="preserve">Watch for:</w:t>
      </w:r>
      <w:r>
        <w:t xml:space="preserve"> </w:t>
      </w:r>
      <w:r>
        <w:t xml:space="preserve">(1) the actual Q2 Middle East EPS impact vs. the</w:t>
      </w:r>
      <w:r>
        <w:t xml:space="preserve"> </w:t>
      </w:r>
      <m:oMath>
        <m:r>
          <m:t>0.07</m:t>
        </m:r>
        <m:r>
          <m:rPr>
            <m:sty m:val="p"/>
          </m:rPr>
          <m:t>–</m:t>
        </m:r>
      </m:oMath>
      <w:r>
        <w:t xml:space="preserve">0.09 guide; (2) any Q3 quantification; (3) commentary on Saudi/Qatar/Iraq/Kuwait activity levels and contract cost pass-through. Middle East/Asia revenue was already down 13% y/y in Q1 ($1.3B), so this region is the clear soft spot.</w:t>
      </w:r>
    </w:p>
    <w:p>
      <w:pPr>
        <w:pStyle w:val="BodyText"/>
      </w:pPr>
      <w:r>
        <w:rPr>
          <w:b/>
          <w:bCs/>
        </w:rPr>
        <w:t xml:space="preserve">The bull framing management will lean on:</w:t>
      </w:r>
      <w:r>
        <w:t xml:space="preserve"> </w:t>
      </w:r>
      <w:r>
        <w:t xml:space="preserve">CEO Jeff Miller argues the conflict is a</w:t>
      </w:r>
      <w:r>
        <w:t xml:space="preserve"> </w:t>
      </w:r>
      <w:r>
        <w:rPr>
          <w:i/>
          <w:iCs/>
        </w:rPr>
        <w:t xml:space="preserve">structural positive</w:t>
      </w:r>
      <w:r>
        <w:t xml:space="preserve"> </w:t>
      </w:r>
      <w:r>
        <w:t xml:space="preserve">— energy security is "no longer a talking point," the supply overhang is gone, cumulative production deficits are "trending toward 1 billion barrels," and the world is "fundamentally tighter" on oil and gas. Higher-for-longer crude is the thesis underpinning everything below.</w:t>
      </w:r>
    </w:p>
    <w:p>
      <w:r>
        <w:pict>
          <v:rect style="width:0;height:1.5pt" o:hralign="center" o:hrstd="t" o:hr="t"/>
        </w:pict>
      </w:r>
    </w:p>
    <w:bookmarkEnd w:id="12"/>
    <w:bookmarkStart w:id="13" w:name="X403fe9992bbc907baf1f79b09b15e876b2bbbaa"/>
    <w:p>
      <w:pPr>
        <w:pStyle w:val="Heading2"/>
      </w:pPr>
      <w:r>
        <w:t xml:space="preserve">North America: is the "early innings" recovery real?</w:t>
      </w:r>
    </w:p>
    <w:p>
      <w:pPr>
        <w:pStyle w:val="FirstParagraph"/>
      </w:pPr>
      <w:r>
        <w:t xml:space="preserve">Management's most important incremental narrative. In Q1, NAM revenue was $2.1B (–4% y/y), but the tone turned constructive:</w:t>
      </w:r>
    </w:p>
    <w:p>
      <w:pPr>
        <w:pStyle w:val="Compact"/>
        <w:numPr>
          <w:ilvl w:val="0"/>
          <w:numId w:val="1002"/>
        </w:numPr>
      </w:pPr>
      <w:r>
        <w:rPr>
          <w:b/>
          <w:bCs/>
        </w:rPr>
        <w:t xml:space="preserve">Frac calendar white space in 1H "is now gone"</w:t>
      </w:r>
      <w:r>
        <w:t xml:space="preserve"> </w:t>
      </w:r>
      <w:r>
        <w:t xml:space="preserve">— completion work is no longer slipping right</w:t>
      </w:r>
    </w:p>
    <w:p>
      <w:pPr>
        <w:pStyle w:val="Compact"/>
        <w:numPr>
          <w:ilvl w:val="0"/>
          <w:numId w:val="1002"/>
        </w:numPr>
      </w:pPr>
      <w:r>
        <w:rPr>
          <w:b/>
          <w:bCs/>
        </w:rPr>
        <w:t xml:space="preserve">Inbound calls for spot work</w:t>
      </w:r>
      <w:r>
        <w:t xml:space="preserve"> </w:t>
      </w:r>
      <w:r>
        <w:t xml:space="preserve">rising — "the leading edge of capacity tightening"</w:t>
      </w:r>
    </w:p>
    <w:p>
      <w:pPr>
        <w:pStyle w:val="Compact"/>
        <w:numPr>
          <w:ilvl w:val="0"/>
          <w:numId w:val="1002"/>
        </w:numPr>
      </w:pPr>
      <w:r>
        <w:t xml:space="preserve">Premium/dual-fuel fleets "absolutely sold out as an industry"; they're within "a handful of fleets" of tightness</w:t>
      </w:r>
    </w:p>
    <w:p>
      <w:pPr>
        <w:pStyle w:val="Compact"/>
        <w:numPr>
          <w:ilvl w:val="0"/>
          <w:numId w:val="1002"/>
        </w:numPr>
      </w:pPr>
      <w:r>
        <w:t xml:space="preserve">Strategy is explicitly</w:t>
      </w:r>
      <w:r>
        <w:t xml:space="preserve"> </w:t>
      </w:r>
      <w:r>
        <w:rPr>
          <w:b/>
          <w:bCs/>
        </w:rPr>
        <w:t xml:space="preserve">returns over market share</w:t>
      </w:r>
      <w:r>
        <w:t xml:space="preserve"> </w:t>
      </w:r>
      <w:r>
        <w:t xml:space="preserve">— restore pricing on existing fleets</w:t>
      </w:r>
      <w:r>
        <w:t xml:space="preserve"> </w:t>
      </w:r>
      <w:r>
        <w:rPr>
          <w:i/>
          <w:iCs/>
        </w:rPr>
        <w:t xml:space="preserve">before</w:t>
      </w:r>
      <w:r>
        <w:t xml:space="preserve"> </w:t>
      </w:r>
      <w:r>
        <w:t xml:space="preserve">adding capacity</w:t>
      </w:r>
    </w:p>
    <w:p>
      <w:pPr>
        <w:pStyle w:val="FirstParagraph"/>
      </w:pPr>
      <w:r>
        <w:rPr>
          <w:b/>
          <w:bCs/>
        </w:rPr>
        <w:t xml:space="preserve">Watch for:</w:t>
      </w:r>
      <w:r>
        <w:t xml:space="preserve"> </w:t>
      </w:r>
      <w:r>
        <w:t xml:space="preserve">confirmation that H2 is firming, evidence of actual</w:t>
      </w:r>
      <w:r>
        <w:t xml:space="preserve"> </w:t>
      </w:r>
      <w:r>
        <w:rPr>
          <w:b/>
          <w:bCs/>
        </w:rPr>
        <w:t xml:space="preserve">pricing traction</w:t>
      </w:r>
      <w:r>
        <w:t xml:space="preserve"> </w:t>
      </w:r>
      <w:r>
        <w:t xml:space="preserve">in US land frac (not just tightness), and rig-add/longer-term program signals. Also the natural-gas-vs-diesel arbitrage tailwind for HAL's ZEUS e-fleets. A credible pricing inflection is the single biggest potential positive catalyst; another "early innings" with no pricing proof would disappoint.</w:t>
      </w:r>
    </w:p>
    <w:p>
      <w:r>
        <w:pict>
          <v:rect style="width:0;height:1.5pt" o:hralign="center" o:hrstd="t" o:hr="t"/>
        </w:pict>
      </w:r>
    </w:p>
    <w:bookmarkEnd w:id="13"/>
    <w:bookmarkStart w:id="14" w:name="X024d079689edb7fa2425dcbf7f88dcb0b1ec9f9"/>
    <w:p>
      <w:pPr>
        <w:pStyle w:val="Heading2"/>
      </w:pPr>
      <w:r>
        <w:t xml:space="preserve">International ex-Middle East: the growth engine</w:t>
      </w:r>
    </w:p>
    <w:p>
      <w:pPr>
        <w:pStyle w:val="FirstParagraph"/>
      </w:pPr>
      <w:r>
        <w:t xml:space="preserve">Management guided</w:t>
      </w:r>
      <w:r>
        <w:t xml:space="preserve"> </w:t>
      </w:r>
      <w:r>
        <w:rPr>
          <w:b/>
          <w:bCs/>
        </w:rPr>
        <w:t xml:space="preserve">mid-to-high single-digit full-year revenue growth outside the Middle East</w:t>
      </w:r>
      <w:r>
        <w:t xml:space="preserve">, led by Latin America. Q1 proof points:</w:t>
      </w:r>
    </w:p>
    <w:p>
      <w:pPr>
        <w:pStyle w:val="Compact"/>
        <w:numPr>
          <w:ilvl w:val="0"/>
          <w:numId w:val="1003"/>
        </w:numPr>
      </w:pPr>
      <w:r>
        <w:rPr>
          <w:b/>
          <w:bCs/>
        </w:rPr>
        <w:t xml:space="preserve">Latin America +22% y/y</w:t>
      </w:r>
      <w:r>
        <w:t xml:space="preserve"> </w:t>
      </w:r>
      <w:r>
        <w:t xml:space="preserve">($1.1B) — Ecuador, Caribbean (Guyana/Suriname), Brazil, plus Mexico/Argentina stimulation</w:t>
      </w:r>
    </w:p>
    <w:p>
      <w:pPr>
        <w:pStyle w:val="Compact"/>
        <w:numPr>
          <w:ilvl w:val="0"/>
          <w:numId w:val="1003"/>
        </w:numPr>
      </w:pPr>
      <w:r>
        <w:rPr>
          <w:b/>
          <w:bCs/>
        </w:rPr>
        <w:t xml:space="preserve">Europe/Africa +11% y/y</w:t>
      </w:r>
      <w:r>
        <w:t xml:space="preserve"> </w:t>
      </w:r>
      <w:r>
        <w:t xml:space="preserve">($858M) — Norway strength; Namibia/Nigeria "light at the end of the tunnel"</w:t>
      </w:r>
    </w:p>
    <w:p>
      <w:pPr>
        <w:pStyle w:val="Compact"/>
        <w:numPr>
          <w:ilvl w:val="0"/>
          <w:numId w:val="1003"/>
        </w:numPr>
      </w:pPr>
      <w:r>
        <w:rPr>
          <w:b/>
          <w:bCs/>
        </w:rPr>
        <w:t xml:space="preserve">Argentina YPF multibillion-dollar award</w:t>
      </w:r>
      <w:r>
        <w:t xml:space="preserve"> </w:t>
      </w:r>
      <w:r>
        <w:t xml:space="preserve">— first ZEUS e-frac + OCTIV Auto Frac deployment outside North America; management calls it a "template" for other unconventional basins</w:t>
      </w:r>
    </w:p>
    <w:p>
      <w:pPr>
        <w:pStyle w:val="Compact"/>
        <w:numPr>
          <w:ilvl w:val="0"/>
          <w:numId w:val="1003"/>
        </w:numPr>
      </w:pPr>
      <w:r>
        <w:rPr>
          <w:b/>
          <w:bCs/>
        </w:rPr>
        <w:t xml:space="preserve">Offshore momentum</w:t>
      </w:r>
      <w:r>
        <w:t xml:space="preserve"> </w:t>
      </w:r>
      <w:r>
        <w:t xml:space="preserve">— Suriname (PETRONAS/Valaris collaboration), Guyana (first fully automated geosteering with ExxonMobil), aided by the Sekal rig-automation acquisition; visibility into '26–'28</w:t>
      </w:r>
    </w:p>
    <w:p>
      <w:pPr>
        <w:pStyle w:val="Compact"/>
        <w:numPr>
          <w:ilvl w:val="0"/>
          <w:numId w:val="1003"/>
        </w:numPr>
      </w:pPr>
      <w:r>
        <w:rPr>
          <w:b/>
          <w:bCs/>
        </w:rPr>
        <w:t xml:space="preserve">Venezuela</w:t>
      </w:r>
      <w:r>
        <w:t xml:space="preserve"> </w:t>
      </w:r>
      <w:r>
        <w:t xml:space="preserve">cited as an emerging opportunity as sanctions ease</w:t>
      </w:r>
    </w:p>
    <w:p>
      <w:pPr>
        <w:pStyle w:val="FirstParagraph"/>
      </w:pPr>
      <w:r>
        <w:rPr>
          <w:b/>
          <w:bCs/>
        </w:rPr>
        <w:t xml:space="preserve">Watch for:</w:t>
      </w:r>
      <w:r>
        <w:t xml:space="preserve"> </w:t>
      </w:r>
      <w:r>
        <w:t xml:space="preserve">whether the ex-Middle East growth guide holds, LatAm margin trajectory as Argentina fleets mobilize, and offshore backlog color.</w:t>
      </w:r>
    </w:p>
    <w:p>
      <w:r>
        <w:pict>
          <v:rect style="width:0;height:1.5pt" o:hralign="center" o:hrstd="t" o:hr="t"/>
        </w:pict>
      </w:r>
    </w:p>
    <w:bookmarkEnd w:id="14"/>
    <w:bookmarkStart w:id="15" w:name="capital-returns--balance-sheet"/>
    <w:p>
      <w:pPr>
        <w:pStyle w:val="Heading2"/>
      </w:pPr>
      <w:r>
        <w:t xml:space="preserve">Capital returns &amp; balance sheet</w:t>
      </w:r>
    </w:p>
    <w:p>
      <w:pPr>
        <w:pStyle w:val="Compact"/>
        <w:numPr>
          <w:ilvl w:val="0"/>
          <w:numId w:val="1004"/>
        </w:numPr>
      </w:pPr>
      <w:r>
        <w:t xml:space="preserve">Q1 buyback was **only</w:t>
      </w:r>
      <w:r>
        <w:t xml:space="preserve"> </w:t>
      </w:r>
      <m:oMath>
        <m:r>
          <m:t>100</m:t>
        </m:r>
        <m:r>
          <m:t>M</m:t>
        </m:r>
        <m:r>
          <m:rPr>
            <m:sty m:val="p"/>
          </m:rPr>
          <m:t>*</m:t>
        </m:r>
        <m:r>
          <m:rPr>
            <m:sty m:val="p"/>
          </m:rPr>
          <m:t>*</m:t>
        </m:r>
        <m:r>
          <m:rPr>
            <m:sty m:val="p"/>
          </m:rPr>
          <m:t>(</m:t>
        </m:r>
        <m:r>
          <m:t>v</m:t>
        </m:r>
        <m:r>
          <m:t>s</m:t>
        </m:r>
        <m:r>
          <m:rPr>
            <m:sty m:val="p"/>
          </m:rPr>
          <m:t>.</m:t>
        </m:r>
        <m:r>
          <m:t> </m:t>
        </m:r>
      </m:oMath>
      <w:r>
        <w:t xml:space="preserve">250M/qtr run-rate in 2025) — deliberately conservative given macro uncertainty</w:t>
      </w:r>
    </w:p>
    <w:p>
      <w:pPr>
        <w:pStyle w:val="Compact"/>
        <w:numPr>
          <w:ilvl w:val="0"/>
          <w:numId w:val="1004"/>
        </w:numPr>
      </w:pPr>
      <w:r>
        <w:t xml:space="preserve">Management guided</w:t>
      </w:r>
      <w:r>
        <w:t xml:space="preserve"> </w:t>
      </w:r>
      <w:r>
        <w:rPr>
          <w:b/>
          <w:bCs/>
        </w:rPr>
        <w:t xml:space="preserve">Q2 &gt; Q1</w:t>
      </w:r>
      <w:r>
        <w:t xml:space="preserve"> </w:t>
      </w:r>
      <w:r>
        <w:t xml:space="preserve">and</w:t>
      </w:r>
      <w:r>
        <w:t xml:space="preserve"> </w:t>
      </w:r>
      <w:r>
        <w:rPr>
          <w:b/>
          <w:bCs/>
        </w:rPr>
        <w:t xml:space="preserve">H2 &gt; H1</w:t>
      </w:r>
      <w:r>
        <w:t xml:space="preserve"> </w:t>
      </w:r>
      <w:r>
        <w:t xml:space="preserve">on repurchases; philosophy unchanged, focused on per-share value</w:t>
      </w:r>
    </w:p>
    <w:p>
      <w:pPr>
        <w:pStyle w:val="Compact"/>
        <w:numPr>
          <w:ilvl w:val="0"/>
          <w:numId w:val="1004"/>
        </w:numPr>
      </w:pPr>
      <w:r>
        <w:t xml:space="preserve">Dividend steady at</w:t>
      </w:r>
      <w:r>
        <w:t xml:space="preserve"> </w:t>
      </w:r>
      <w:r>
        <w:rPr>
          <w:b/>
          <w:bCs/>
        </w:rPr>
        <w:t xml:space="preserve">$0.17/share</w:t>
      </w:r>
    </w:p>
    <w:p>
      <w:pPr>
        <w:pStyle w:val="Compact"/>
        <w:numPr>
          <w:ilvl w:val="0"/>
          <w:numId w:val="1004"/>
        </w:numPr>
      </w:pPr>
      <w:r>
        <w:t xml:space="preserve">Q1 free cash flow was light at</w:t>
      </w:r>
      <w:r>
        <w:t xml:space="preserve"> </w:t>
      </w:r>
      <m:oMath>
        <m:r>
          <m:t>123</m:t>
        </m:r>
        <m:r>
          <m:t>M</m:t>
        </m:r>
        <m:r>
          <m:rPr>
            <m:sty m:val="p"/>
          </m:rPr>
          <m:t>*</m:t>
        </m:r>
        <m:r>
          <m:rPr>
            <m:sty m:val="p"/>
          </m:rPr>
          <m:t>*</m:t>
        </m:r>
        <m:r>
          <m:rPr>
            <m:sty m:val="p"/>
          </m:rPr>
          <m:t>(</m:t>
        </m:r>
        <m:r>
          <m:t>s</m:t>
        </m:r>
        <m:r>
          <m:t>e</m:t>
        </m:r>
        <m:r>
          <m:t>a</m:t>
        </m:r>
        <m:r>
          <m:t>s</m:t>
        </m:r>
        <m:r>
          <m:t>o</m:t>
        </m:r>
        <m:r>
          <m:t>n</m:t>
        </m:r>
        <m:r>
          <m:t>a</m:t>
        </m:r>
        <m:r>
          <m:t>l</m:t>
        </m:r>
        <m:r>
          <m:t>l</m:t>
        </m:r>
        <m:r>
          <m:t>y</m:t>
        </m:r>
        <m:r>
          <m:t>w</m:t>
        </m:r>
        <m:r>
          <m:t>e</m:t>
        </m:r>
        <m:r>
          <m:t>a</m:t>
        </m:r>
        <m:r>
          <m:t>k</m:t>
        </m:r>
        <m:r>
          <m:rPr>
            <m:sty m:val="p"/>
          </m:rPr>
          <m:t>,</m:t>
        </m:r>
        <m:r>
          <m:t>w</m:t>
        </m:r>
        <m:r>
          <m:t>o</m:t>
        </m:r>
        <m:r>
          <m:t>r</m:t>
        </m:r>
        <m:r>
          <m:t>k</m:t>
        </m:r>
        <m:r>
          <m:t>i</m:t>
        </m:r>
        <m:r>
          <m:t>n</m:t>
        </m:r>
        <m:r>
          <m:t>g</m:t>
        </m:r>
        <m:r>
          <m:rPr>
            <m:sty m:val="p"/>
          </m:rPr>
          <m:t>−</m:t>
        </m:r>
        <m:r>
          <m:t>c</m:t>
        </m:r>
        <m:r>
          <m:t>a</m:t>
        </m:r>
        <m:r>
          <m:t>p</m:t>
        </m:r>
        <m:r>
          <m:t>i</m:t>
        </m:r>
        <m:r>
          <m:t>t</m:t>
        </m:r>
        <m:r>
          <m:t>a</m:t>
        </m:r>
        <m:r>
          <m:t>l</m:t>
        </m:r>
        <m:r>
          <m:t>b</m:t>
        </m:r>
        <m:r>
          <m:t>u</m:t>
        </m:r>
        <m:r>
          <m:t>i</m:t>
        </m:r>
        <m:r>
          <m:t>l</m:t>
        </m:r>
        <m:r>
          <m:t>d</m:t>
        </m:r>
        <m:r>
          <m:rPr>
            <m:sty m:val="p"/>
          </m:rPr>
          <m:t>)</m:t>
        </m:r>
        <m:r>
          <m:rPr>
            <m:sty m:val="p"/>
          </m:rPr>
          <m:t>;</m:t>
        </m:r>
        <m:r>
          <m:t>F</m:t>
        </m:r>
        <m:r>
          <m:t>Y</m:t>
        </m:r>
        <m:r>
          <m:t>c</m:t>
        </m:r>
        <m:r>
          <m:t>a</m:t>
        </m:r>
        <m:r>
          <m:t>p</m:t>
        </m:r>
        <m:r>
          <m:t>e</m:t>
        </m:r>
        <m:r>
          <m:t>x</m:t>
        </m:r>
        <m:r>
          <m:t>g</m:t>
        </m:r>
        <m:r>
          <m:t>u</m:t>
        </m:r>
        <m:r>
          <m:t>i</m:t>
        </m:r>
        <m:r>
          <m:t>d</m:t>
        </m:r>
        <m:r>
          <m:t>e</m:t>
        </m:r>
        <m:r>
          <m:rPr>
            <m:sty m:val="p"/>
          </m:rPr>
          <m:t>*</m:t>
        </m:r>
        <m:r>
          <m:rPr>
            <m:sty m:val="p"/>
          </m:rPr>
          <m:t>*</m:t>
        </m:r>
      </m:oMath>
      <w:r>
        <w:rPr>
          <w:b/>
          <w:bCs/>
        </w:rPr>
        <w:t xml:space="preserve">1.1B</w:t>
      </w:r>
      <w:r>
        <w:t xml:space="preserve"> </w:t>
      </w:r>
      <w:r>
        <w:t xml:space="preserve">(5–6% of revenue, weighted to growth engines) implies a 2H spend ramp</w:t>
      </w:r>
    </w:p>
    <w:p>
      <w:pPr>
        <w:pStyle w:val="Compact"/>
        <w:numPr>
          <w:ilvl w:val="0"/>
          <w:numId w:val="1004"/>
        </w:numPr>
      </w:pPr>
      <w:r>
        <w:t xml:space="preserve">Solid balance sheet: ~$2.0B cash, $7.1B long-term debt</w:t>
      </w:r>
    </w:p>
    <w:p>
      <w:pPr>
        <w:pStyle w:val="FirstParagraph"/>
      </w:pPr>
      <w:r>
        <w:rPr>
          <w:b/>
          <w:bCs/>
        </w:rPr>
        <w:t xml:space="preserve">Watch for:</w:t>
      </w:r>
      <w:r>
        <w:t xml:space="preserve"> </w:t>
      </w:r>
      <w:r>
        <w:t xml:space="preserve">the buyback ramp actually showing up, and a FCF recovery — 2H generation is the swing factor for the full-year return story. Any hesitation on buybacks would be read as caution.</w:t>
      </w:r>
    </w:p>
    <w:p>
      <w:r>
        <w:pict>
          <v:rect style="width:0;height:1.5pt" o:hralign="center" o:hrstd="t" o:hr="t"/>
        </w:pict>
      </w:r>
    </w:p>
    <w:bookmarkEnd w:id="15"/>
    <w:bookmarkStart w:id="16" w:name="stock-context"/>
    <w:p>
      <w:pPr>
        <w:pStyle w:val="Heading2"/>
      </w:pPr>
      <w:r>
        <w:t xml:space="preserve">Stock context</w:t>
      </w:r>
    </w:p>
    <w:p>
      <w:pPr>
        <w:pStyle w:val="FirstParagraph"/>
      </w:pPr>
      <w:r>
        <w:t xml:space="preserve">HAL is up ~19% YTD (from ~</w:t>
      </w:r>
      <m:oMath>
        <m:r>
          <m:t>29.6</m:t>
        </m:r>
        <m:r>
          <m:t>t</m:t>
        </m:r>
        <m:r>
          <m:t>o</m:t>
        </m:r>
        <m:r>
          <m:t> </m:t>
        </m:r>
      </m:oMath>
      <w:r>
        <w:t xml:space="preserve">35.1) but has **round-tripped lower from its ~</w:t>
      </w:r>
      <m:oMath>
        <m:r>
          <m:t>42</m:t>
        </m:r>
        <m:r>
          <m:t>p</m:t>
        </m:r>
        <m:r>
          <m:t>e</m:t>
        </m:r>
        <m:r>
          <m:t>a</m:t>
        </m:r>
        <m:r>
          <m:t>k</m:t>
        </m:r>
        <m:r>
          <m:rPr>
            <m:sty m:val="p"/>
          </m:rPr>
          <m:t>(</m:t>
        </m:r>
        <m:r>
          <m:t>l</m:t>
        </m:r>
        <m:r>
          <m:t>a</m:t>
        </m:r>
        <m:r>
          <m:t>t</m:t>
        </m:r>
        <m:r>
          <m:t>e</m:t>
        </m:r>
        <m:r>
          <m:t>A</m:t>
        </m:r>
        <m:r>
          <m:t>p</m:t>
        </m:r>
        <m:r>
          <m:t>r</m:t>
        </m:r>
        <m:r>
          <m:t>i</m:t>
        </m:r>
        <m:r>
          <m:t>l</m:t>
        </m:r>
        <m:r>
          <m:rPr>
            <m:sty m:val="p"/>
          </m:rPr>
          <m:t>/</m:t>
        </m:r>
        <m:r>
          <m:t>e</m:t>
        </m:r>
        <m:r>
          <m:t>a</m:t>
        </m:r>
        <m:r>
          <m:t>r</m:t>
        </m:r>
        <m:r>
          <m:t>l</m:t>
        </m:r>
        <m:r>
          <m:t>y</m:t>
        </m:r>
        <m:r>
          <m:t>M</m:t>
        </m:r>
        <m:r>
          <m:t>a</m:t>
        </m:r>
        <m:r>
          <m:t>y</m:t>
        </m:r>
        <m:r>
          <m:rPr>
            <m:sty m:val="p"/>
          </m:rPr>
          <m:t>)</m:t>
        </m:r>
        <m:r>
          <m:rPr>
            <m:sty m:val="p"/>
          </m:rPr>
          <m:t>*</m:t>
        </m:r>
        <m:r>
          <m:rPr>
            <m:sty m:val="p"/>
          </m:rPr>
          <m:t>*</m:t>
        </m:r>
        <m:r>
          <m:rPr>
            <m:sty m:val="p"/>
          </m:rPr>
          <m:t>,</m:t>
        </m:r>
        <m:r>
          <m:t>s</m:t>
        </m:r>
        <m:r>
          <m:t>l</m:t>
        </m:r>
        <m:r>
          <m:t>i</m:t>
        </m:r>
        <m:r>
          <m:t>d</m:t>
        </m:r>
        <m:r>
          <m:t>i</m:t>
        </m:r>
        <m:r>
          <m:t>n</m:t>
        </m:r>
        <m:r>
          <m:t>g</m:t>
        </m:r>
        <m:r>
          <m:t>t</m:t>
        </m:r>
        <m:r>
          <m:t>h</m:t>
        </m:r>
        <m:r>
          <m:t>r</m:t>
        </m:r>
        <m:r>
          <m:t>o</m:t>
        </m:r>
        <m:r>
          <m:t>u</m:t>
        </m:r>
        <m:r>
          <m:t>g</m:t>
        </m:r>
        <m:r>
          <m:t>h</m:t>
        </m:r>
        <m:r>
          <m:t>J</m:t>
        </m:r>
        <m:r>
          <m:t>u</m:t>
        </m:r>
        <m:r>
          <m:t>n</m:t>
        </m:r>
        <m:r>
          <m:t>e</m:t>
        </m:r>
        <m:r>
          <m:t>a</m:t>
        </m:r>
        <m:r>
          <m:t>s</m:t>
        </m:r>
        <m:r>
          <m:t>t</m:t>
        </m:r>
        <m:r>
          <m:t>h</m:t>
        </m:r>
        <m:r>
          <m:t>e</m:t>
        </m:r>
        <m:r>
          <m:t>M</m:t>
        </m:r>
        <m:r>
          <m:t>i</m:t>
        </m:r>
        <m:r>
          <m:t>d</m:t>
        </m:r>
        <m:r>
          <m:t>d</m:t>
        </m:r>
        <m:r>
          <m:t>l</m:t>
        </m:r>
        <m:r>
          <m:t>e</m:t>
        </m:r>
        <m:r>
          <m:t>E</m:t>
        </m:r>
        <m:r>
          <m:t>a</m:t>
        </m:r>
        <m:r>
          <m:t>s</m:t>
        </m:r>
        <m:r>
          <m:t>t</m:t>
        </m:r>
        <m:r>
          <m:t>c</m:t>
        </m:r>
        <m:r>
          <m:t>o</m:t>
        </m:r>
        <m:r>
          <m:t>n</m:t>
        </m:r>
        <m:r>
          <m:t>f</m:t>
        </m:r>
        <m:r>
          <m:t>l</m:t>
        </m:r>
        <m:r>
          <m:t>i</m:t>
        </m:r>
        <m:r>
          <m:t>c</m:t>
        </m:r>
        <m:r>
          <m:t>t</m:t>
        </m:r>
        <m:r>
          <m:t>e</m:t>
        </m:r>
        <m:r>
          <m:t>s</m:t>
        </m:r>
        <m:r>
          <m:t>c</m:t>
        </m:r>
        <m:r>
          <m:t>a</m:t>
        </m:r>
        <m:r>
          <m:t>l</m:t>
        </m:r>
        <m:r>
          <m:t>a</m:t>
        </m:r>
        <m:r>
          <m:t>t</m:t>
        </m:r>
        <m:r>
          <m:t>e</m:t>
        </m:r>
        <m:r>
          <m:t>d</m:t>
        </m:r>
        <m:r>
          <m:t>a</m:t>
        </m:r>
        <m:r>
          <m:t>n</m:t>
        </m:r>
        <m:r>
          <m:t>d</m:t>
        </m:r>
        <m:r>
          <m:t>o</m:t>
        </m:r>
        <m:r>
          <m:t>i</m:t>
        </m:r>
        <m:r>
          <m:t>l</m:t>
        </m:r>
        <m:r>
          <m:t>w</m:t>
        </m:r>
        <m:r>
          <m:t>o</m:t>
        </m:r>
        <m:r>
          <m:t>b</m:t>
        </m:r>
        <m:r>
          <m:t>b</m:t>
        </m:r>
        <m:r>
          <m:t>l</m:t>
        </m:r>
        <m:r>
          <m:t>e</m:t>
        </m:r>
        <m:r>
          <m:t>d</m:t>
        </m:r>
        <m:r>
          <m:rPr>
            <m:sty m:val="p"/>
          </m:rPr>
          <m:t>.</m:t>
        </m:r>
        <m:r>
          <m:t>I</m:t>
        </m:r>
        <m:r>
          <m:t>t</m:t>
        </m:r>
        <m:r>
          <m:t>h</m:t>
        </m:r>
        <m:r>
          <m:t>a</m:t>
        </m:r>
        <m:r>
          <m:t>s</m:t>
        </m:r>
        <m:r>
          <m:t>l</m:t>
        </m:r>
        <m:r>
          <m:t>a</m:t>
        </m:r>
        <m:r>
          <m:t>r</m:t>
        </m:r>
        <m:r>
          <m:t>g</m:t>
        </m:r>
        <m:r>
          <m:t>e</m:t>
        </m:r>
        <m:r>
          <m:t>l</m:t>
        </m:r>
        <m:r>
          <m:t>y</m:t>
        </m:r>
        <m:r>
          <m:t>t</m:t>
        </m:r>
        <m:r>
          <m:t>r</m:t>
        </m:r>
        <m:r>
          <m:t>a</m:t>
        </m:r>
        <m:r>
          <m:t>c</m:t>
        </m:r>
        <m:r>
          <m:t>k</m:t>
        </m:r>
        <m:r>
          <m:t>e</m:t>
        </m:r>
        <m:r>
          <m:t>d</m:t>
        </m:r>
        <m:r>
          <m:t>p</m:t>
        </m:r>
        <m:r>
          <m:t>e</m:t>
        </m:r>
        <m:r>
          <m:t>e</m:t>
        </m:r>
        <m:r>
          <m:t>r</m:t>
        </m:r>
        <m:r>
          <m:t>s</m:t>
        </m:r>
        <m:r>
          <m:t>S</m:t>
        </m:r>
        <m:r>
          <m:t>L</m:t>
        </m:r>
        <m:r>
          <m:t>B</m:t>
        </m:r>
        <m:r>
          <m:rPr>
            <m:sty m:val="p"/>
          </m:rPr>
          <m:t>(</m:t>
        </m:r>
        <m:r>
          <m:t> </m:t>
        </m:r>
      </m:oMath>
      <w:r>
        <w:t xml:space="preserve">46) and BKR (~$55), all pressured mid-June. The stock has essentially given back the post-Q1 rally, so expectations are reset lower into the print — which cuts both ways.</w:t>
      </w:r>
    </w:p>
    <w:p>
      <w:r>
        <w:pict>
          <v:rect style="width:0;height:1.5pt" o:hralign="center" o:hrstd="t" o:hr="t"/>
        </w:pict>
      </w:r>
    </w:p>
    <w:bookmarkEnd w:id="16"/>
    <w:bookmarkStart w:id="17" w:name="bottom-line--what-to-focus-on"/>
    <w:p>
      <w:pPr>
        <w:pStyle w:val="Heading2"/>
      </w:pPr>
      <w:r>
        <w:t xml:space="preserve">Bottom line — what to focus on</w:t>
      </w:r>
    </w:p>
    <w:p>
      <w:pPr>
        <w:pStyle w:val="Compact"/>
        <w:numPr>
          <w:ilvl w:val="0"/>
          <w:numId w:val="1005"/>
        </w:numPr>
      </w:pPr>
      <w:r>
        <w:rPr>
          <w:b/>
          <w:bCs/>
        </w:rPr>
        <w:t xml:space="preserve">Middle East EPS impact</w:t>
      </w:r>
      <w:r>
        <w:t xml:space="preserve"> </w:t>
      </w:r>
      <w:r>
        <w:t xml:space="preserve">vs. the</w:t>
      </w:r>
      <w:r>
        <w:t xml:space="preserve"> </w:t>
      </w:r>
      <m:oMath>
        <m:r>
          <m:t>0.07</m:t>
        </m:r>
        <m:r>
          <m:rPr>
            <m:sty m:val="p"/>
          </m:rPr>
          <m:t>–</m:t>
        </m:r>
      </m:oMath>
      <w:r>
        <w:t xml:space="preserve">0.09 guide, and whether the offshore restart slipped (the –</w:t>
      </w:r>
      <m:oMath>
        <m:r>
          <m:t>0.03</m:t>
        </m:r>
        <m:r>
          <m:rPr>
            <m:sty m:val="p"/>
          </m:rPr>
          <m:t>–</m:t>
        </m:r>
      </m:oMath>
      <w:r>
        <w:t xml:space="preserve">0.05 risk). This is the number that defines the quarter.</w:t>
      </w:r>
    </w:p>
    <w:p>
      <w:pPr>
        <w:pStyle w:val="Compact"/>
        <w:numPr>
          <w:ilvl w:val="0"/>
          <w:numId w:val="1005"/>
        </w:numPr>
      </w:pPr>
      <w:r>
        <w:rPr>
          <w:b/>
          <w:bCs/>
        </w:rPr>
        <w:t xml:space="preserve">North America pricing</w:t>
      </w:r>
      <w:r>
        <w:t xml:space="preserve"> </w:t>
      </w:r>
      <w:r>
        <w:t xml:space="preserve">— tightening rhetoric is well established; the market now wants proof of pricing power and H2 momentum.</w:t>
      </w:r>
    </w:p>
    <w:p>
      <w:pPr>
        <w:pStyle w:val="Compact"/>
        <w:numPr>
          <w:ilvl w:val="0"/>
          <w:numId w:val="1005"/>
        </w:numPr>
      </w:pPr>
      <w:r>
        <w:rPr>
          <w:b/>
          <w:bCs/>
        </w:rPr>
        <w:t xml:space="preserve">International ex-ME durability</w:t>
      </w:r>
      <w:r>
        <w:t xml:space="preserve"> </w:t>
      </w:r>
      <w:r>
        <w:t xml:space="preserve">— LatAm/offshore/Argentina must offset Middle East weakness to keep the "flat-to-growing" story intact.</w:t>
      </w:r>
    </w:p>
    <w:p>
      <w:pPr>
        <w:pStyle w:val="Compact"/>
        <w:numPr>
          <w:ilvl w:val="0"/>
          <w:numId w:val="1005"/>
        </w:numPr>
      </w:pPr>
      <w:r>
        <w:rPr>
          <w:b/>
          <w:bCs/>
        </w:rPr>
        <w:t xml:space="preserve">Capital returns cadence</w:t>
      </w:r>
      <w:r>
        <w:t xml:space="preserve"> </w:t>
      </w:r>
      <w:r>
        <w:t xml:space="preserve">— did the buyback re-accelerate as promised, and is FCF recovering?</w:t>
      </w:r>
    </w:p>
    <w:p>
      <w:pPr>
        <w:pStyle w:val="Compact"/>
        <w:numPr>
          <w:ilvl w:val="0"/>
          <w:numId w:val="1005"/>
        </w:numPr>
      </w:pPr>
      <w:r>
        <w:rPr>
          <w:b/>
          <w:bCs/>
        </w:rPr>
        <w:t xml:space="preserve">The macro overlay</w:t>
      </w:r>
      <w:r>
        <w:t xml:space="preserve"> </w:t>
      </w:r>
      <w:r>
        <w:t xml:space="preserve">— with Brent back above $90 into the report, management's "structurally tighter, energy-security-driven, higher-for-longer" thesis will dominate the Q&amp;A and set the multiple.</w:t>
      </w:r>
    </w:p>
    <w:p>
      <w:pPr>
        <w:pStyle w:val="FirstParagraph"/>
      </w:pPr>
      <w:r>
        <w:rPr>
          <w:b/>
          <w:bCs/>
        </w:rPr>
        <w:t xml:space="preserve">Net:</w:t>
      </w:r>
      <w:r>
        <w:t xml:space="preserve"> </w:t>
      </w:r>
      <w:r>
        <w:t xml:space="preserve">a likely in-line-to-soft Q2 print (Middle East drag) where the debate is won or lost on forward commentary — specifically North America pricing traction and how quickly the Middle East disruption reverses (or worsens) given the weekend escalation.</w:t>
      </w:r>
    </w:p>
    <w:p>
      <w:pPr>
        <w:pStyle w:val="BodyText"/>
      </w:pPr>
      <w:r>
        <w:rPr>
          <w:i/>
          <w:iCs/>
        </w:rPr>
        <w:t xml:space="preserve">This is an informational earnings preview based on company filings, transcripts, and news, not investment advice.</w:t>
      </w:r>
    </w:p>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2026-07-21T00:43:09Z</dcterms:created>
  <dcterms:modified xsi:type="dcterms:W3CDTF">2026-07-21T00:43:09Z</dcterms:modified>
</cp:coreProperties>
</file>

<file path=docProps/custom.xml><?xml version="1.0" encoding="utf-8"?>
<Properties xmlns="http://schemas.openxmlformats.org/officeDocument/2006/custom-properties" xmlns:vt="http://schemas.openxmlformats.org/officeDocument/2006/docPropsVTypes"/>
</file>