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3a20cf97cc4e293eb1d331de7eec87899dd38e"/>
    <w:p>
      <w:pPr>
        <w:pStyle w:val="Heading1"/>
      </w:pPr>
      <w:r>
        <w:t xml:space="preserve">Halliburton (HAL) — Q2 2026 Earnings Preview</w:t>
      </w:r>
    </w:p>
    <w:p>
      <w:pPr>
        <w:pStyle w:val="FirstParagraph"/>
      </w:pPr>
      <w:r>
        <w:rPr>
          <w:b/>
          <w:bCs/>
        </w:rPr>
        <w:t xml:space="preserve">Reports: Tuesday, July 21, 2026, before market open | Call: 9:00 a.m. ET</w:t>
      </w:r>
    </w:p>
    <w:bookmarkStart w:id="9" w:name="the-setup"/>
    <w:p>
      <w:pPr>
        <w:pStyle w:val="Heading2"/>
      </w:pPr>
      <w:r>
        <w:t xml:space="preserve">The Setup</w:t>
      </w:r>
    </w:p>
    <w:p>
      <w:pPr>
        <w:pStyle w:val="FirstParagraph"/>
      </w:pPr>
      <w:r>
        <w:t xml:space="preserve">Halliburton heads into this print against an unusually chaotic macro backdrop. Since late February 2026, the U.S./Israel-Iran war has severely disrupted Strait of Hormuz shipping, and a ceasefire reached in the spring has since broken down — with fighting escalating again in July, including strikes on Kuwaiti infrastructure and Brent crude pushing back above $90/bbl. Because roughly a quarter of HAL's revenue comes from the Middle East/Asia region, this conflict is the single biggest swing factor for the quarter and for the tone of forward guidance.</w:t>
      </w:r>
    </w:p>
    <w:p>
      <w:pPr>
        <w:pStyle w:val="BodyText"/>
      </w:pPr>
      <w:r>
        <w:rPr>
          <w:b/>
          <w:bCs/>
        </w:rPr>
        <w:t xml:space="preserve">Consensus:</w:t>
      </w:r>
      <w:r>
        <w:t xml:space="preserve"> </w:t>
      </w:r>
      <w:r>
        <w:t xml:space="preserve">Analysts are looking for</w:t>
      </w:r>
      <w:r>
        <w:t xml:space="preserve"> </w:t>
      </w:r>
      <w:r>
        <w:rPr>
          <w:b/>
          <w:bCs/>
        </w:rPr>
        <w:t xml:space="preserve">EPS of ~$0.54</w:t>
      </w:r>
      <w:r>
        <w:t xml:space="preserve"> </w:t>
      </w:r>
      <w:r>
        <w:t xml:space="preserve">(range</w:t>
      </w:r>
      <w:r>
        <w:t xml:space="preserve"> </w:t>
      </w:r>
      <m:oMath>
        <m:r>
          <m:t>0.50</m:t>
        </m:r>
        <m:r>
          <m:rPr>
            <m:sty m:val="p"/>
          </m:rPr>
          <m:t>–</m:t>
        </m:r>
      </m:oMath>
      <w:r>
        <w:t xml:space="preserve">0.56) on</w:t>
      </w:r>
      <w:r>
        <w:t xml:space="preserve"> </w:t>
      </w:r>
      <w:r>
        <w:rPr>
          <w:b/>
          <w:bCs/>
        </w:rPr>
        <w:t xml:space="preserve">revenue of ~$5.5 billion</w:t>
      </w:r>
      <w:r>
        <w:t xml:space="preserve">, roughly flat year-over-year. That would be down slightly from the $0.55 HAL posted in Q1 2026.</w:t>
      </w:r>
    </w:p>
    <w:bookmarkEnd w:id="9"/>
    <w:bookmarkStart w:id="10" w:name="what-management-told-us-last-quarter"/>
    <w:p>
      <w:pPr>
        <w:pStyle w:val="Heading2"/>
      </w:pPr>
      <w:r>
        <w:t xml:space="preserve">What Management Told Us Last Quarter</w:t>
      </w:r>
    </w:p>
    <w:p>
      <w:pPr>
        <w:pStyle w:val="FirstParagraph"/>
      </w:pPr>
      <w:r>
        <w:t xml:space="preserve">On the Q1 call (April 21), Halliburton gave unusually specific bridges to Q2 that investors should hold management to:</w:t>
      </w:r>
    </w:p>
    <w:p>
      <w:pPr>
        <w:pStyle w:val="Compact"/>
        <w:numPr>
          <w:ilvl w:val="0"/>
          <w:numId w:val="1001"/>
        </w:numPr>
      </w:pPr>
      <w:r>
        <w:rPr>
          <w:b/>
          <w:bCs/>
        </w:rPr>
        <w:t xml:space="preserve">Completion &amp; Production:</w:t>
      </w:r>
      <w:r>
        <w:t xml:space="preserve"> </w:t>
      </w:r>
      <w:r>
        <w:t xml:space="preserve">sequential revenue guided up 4–6%, with margins improving 50–100 bps.</w:t>
      </w:r>
    </w:p>
    <w:p>
      <w:pPr>
        <w:pStyle w:val="Compact"/>
        <w:numPr>
          <w:ilvl w:val="0"/>
          <w:numId w:val="1001"/>
        </w:numPr>
      </w:pPr>
      <w:r>
        <w:rPr>
          <w:b/>
          <w:bCs/>
        </w:rPr>
        <w:t xml:space="preserve">Drilling &amp; Evaluation:</w:t>
      </w:r>
      <w:r>
        <w:t xml:space="preserve"> </w:t>
      </w:r>
      <w:r>
        <w:t xml:space="preserve">sequential revenue guided flat to down 2% (seasonal software sales roll-off), with margins declining 75–125 bps.</w:t>
      </w:r>
    </w:p>
    <w:p>
      <w:pPr>
        <w:pStyle w:val="Compact"/>
        <w:numPr>
          <w:ilvl w:val="0"/>
          <w:numId w:val="1001"/>
        </w:numPr>
      </w:pPr>
      <w:r>
        <w:rPr>
          <w:b/>
          <w:bCs/>
        </w:rPr>
        <w:t xml:space="preserve">Middle East drag:</w:t>
      </w:r>
      <w:r>
        <w:t xml:space="preserve"> </w:t>
      </w:r>
      <w:r>
        <w:t xml:space="preserve">CFO Eric Carre quantified an estimated</w:t>
      </w:r>
      <w:r>
        <w:t xml:space="preserve"> </w:t>
      </w:r>
      <m:oMath>
        <m:r>
          <m:t>0.07</m:t>
        </m:r>
        <m:r>
          <m:rPr>
            <m:sty m:val="p"/>
          </m:rPr>
          <m:t>–</m:t>
        </m:r>
      </m:oMath>
      <w:r>
        <w:rPr>
          <w:b/>
          <w:bCs/>
        </w:rPr>
        <w:t xml:space="preserve">0.09 per share</w:t>
      </w:r>
      <w:r>
        <w:t xml:space="preserve"> </w:t>
      </w:r>
      <w:r>
        <w:t xml:space="preserve">hit in Q2 from lost revenue and inflated logistics/fuel costs, versus</w:t>
      </w:r>
      <w:r>
        <w:t xml:space="preserve"> </w:t>
      </w:r>
      <m:oMath>
        <m:r>
          <m:t>0.02</m:t>
        </m:r>
        <m:r>
          <m:rPr>
            <m:sty m:val="p"/>
          </m:rPr>
          <m:t>–</m:t>
        </m:r>
      </m:oMath>
      <w:r>
        <w:t xml:space="preserve">0.03 in Q1 — but that estimate assumed disruption levels similar to Q1 exit</w:t>
      </w:r>
      <w:r>
        <w:t xml:space="preserve"> </w:t>
      </w:r>
      <w:r>
        <w:rPr>
          <w:i/>
          <w:iCs/>
        </w:rPr>
        <w:t xml:space="preserve">plus a partial offshore restart roughly halfway through the quarter</w:t>
      </w:r>
      <w:r>
        <w:t xml:space="preserve">. Carre explicitly flagged that if that restart slipped, the hit could be</w:t>
      </w:r>
      <w:r>
        <w:t xml:space="preserve"> </w:t>
      </w:r>
      <w:r>
        <w:rPr>
          <w:b/>
          <w:bCs/>
        </w:rPr>
        <w:t xml:space="preserve">another</w:t>
      </w:r>
      <w:r>
        <w:rPr>
          <w:b/>
          <w:bCs/>
        </w:rPr>
        <w:t xml:space="preserve"> </w:t>
      </w:r>
      <m:oMath>
        <m:r>
          <m:t>0.03</m:t>
        </m:r>
        <m:r>
          <m:rPr>
            <m:sty m:val="p"/>
          </m:rPr>
          <m:t>–</m:t>
        </m:r>
      </m:oMath>
      <w:r>
        <w:rPr>
          <w:b/>
          <w:bCs/>
        </w:rPr>
        <w:t xml:space="preserve">0.05</w:t>
      </w:r>
      <w:r>
        <w:t xml:space="preserve"> </w:t>
      </w:r>
      <w:r>
        <w:t xml:space="preserve">worse.</w:t>
      </w:r>
    </w:p>
    <w:p>
      <w:pPr>
        <w:pStyle w:val="Compact"/>
        <w:numPr>
          <w:ilvl w:val="0"/>
          <w:numId w:val="1001"/>
        </w:numPr>
      </w:pPr>
      <w:r>
        <w:t xml:space="preserve">Other line items guided: corporate expense +</w:t>
      </w:r>
      <m:oMath>
        <m:r>
          <m:t>5</m:t>
        </m:r>
        <m:r>
          <m:t>M</m:t>
        </m:r>
        <m:r>
          <m:rPr>
            <m:sty m:val="p"/>
          </m:rPr>
          <m:t>,</m:t>
        </m:r>
        <m:r>
          <m:t>S</m:t>
        </m:r>
        <m:r>
          <m:t>A</m:t>
        </m:r>
        <m:r>
          <m:t>P</m:t>
        </m:r>
        <m:r>
          <m:t>S</m:t>
        </m:r>
        <m:r>
          <m:rPr>
            <m:sty m:val="p"/>
          </m:rPr>
          <m:t>/</m:t>
        </m:r>
        <m:r>
          <m:t>4</m:t>
        </m:r>
        <m:r>
          <m:t>m</m:t>
        </m:r>
        <m:r>
          <m:t>i</m:t>
        </m:r>
        <m:r>
          <m:t>g</m:t>
        </m:r>
        <m:r>
          <m:t>r</m:t>
        </m:r>
        <m:r>
          <m:t>a</m:t>
        </m:r>
        <m:r>
          <m:t>t</m:t>
        </m:r>
        <m:r>
          <m:t>i</m:t>
        </m:r>
        <m:r>
          <m:t>o</m:t>
        </m:r>
        <m:r>
          <m:t>n</m:t>
        </m:r>
        <m:r>
          <m:t>e</m:t>
        </m:r>
        <m:r>
          <m:t>x</m:t>
        </m:r>
        <m:r>
          <m:t>p</m:t>
        </m:r>
        <m:r>
          <m:t>e</m:t>
        </m:r>
        <m:r>
          <m:t>n</m:t>
        </m:r>
        <m:r>
          <m:t>s</m:t>
        </m:r>
        <m:r>
          <m:t>e</m:t>
        </m:r>
        <m:r>
          <m:t> </m:t>
        </m:r>
      </m:oMath>
      <w:r>
        <w:t xml:space="preserve">45M, net interest expense +</w:t>
      </w:r>
      <m:oMath>
        <m:r>
          <m:t>5</m:t>
        </m:r>
        <m:r>
          <m:t>M</m:t>
        </m:r>
        <m:r>
          <m:rPr>
            <m:sty m:val="p"/>
          </m:rPr>
          <m:t>,</m:t>
        </m:r>
        <m:r>
          <m:t>o</m:t>
        </m:r>
        <m:r>
          <m:t>t</m:t>
        </m:r>
        <m:r>
          <m:t>h</m:t>
        </m:r>
        <m:r>
          <m:t>e</m:t>
        </m:r>
        <m:r>
          <m:t>r</m:t>
        </m:r>
        <m:r>
          <m:t>n</m:t>
        </m:r>
        <m:r>
          <m:t>e</m:t>
        </m:r>
        <m:r>
          <m:t>t</m:t>
        </m:r>
        <m:r>
          <m:t>e</m:t>
        </m:r>
        <m:r>
          <m:t>x</m:t>
        </m:r>
        <m:r>
          <m:t>p</m:t>
        </m:r>
        <m:r>
          <m:t>e</m:t>
        </m:r>
        <m:r>
          <m:t>n</m:t>
        </m:r>
        <m:r>
          <m:t>s</m:t>
        </m:r>
        <m:r>
          <m:t>e</m:t>
        </m:r>
        <m:r>
          <m:t> </m:t>
        </m:r>
      </m:oMath>
      <w:r>
        <w:t xml:space="preserve">35M, tax rate ~20%, full-year capex ~$1.1 billion (5–6% of revenue).</w:t>
      </w:r>
    </w:p>
    <w:p>
      <w:pPr>
        <w:pStyle w:val="Compact"/>
        <w:numPr>
          <w:ilvl w:val="0"/>
          <w:numId w:val="1001"/>
        </w:numPr>
      </w:pPr>
      <w:r>
        <w:t xml:space="preserve">Buybacks were guided to step up sequentially (Q2 &gt; Q1, H2 &gt; H1) after a lighter $100M repurchase in Q1.</w:t>
      </w:r>
    </w:p>
    <w:p>
      <w:pPr>
        <w:pStyle w:val="FirstParagraph"/>
      </w:pPr>
      <w:r>
        <w:t xml:space="preserve">Given the ceasefire collapse and renewed strikes reported in July, the key question is whether the assumed mid-quarter offshore restart actually happened — if it slipped, Q2 results and/or Q3 guidance could disappoint even if North America performs well.</w:t>
      </w:r>
    </w:p>
    <w:bookmarkEnd w:id="10"/>
    <w:bookmarkStart w:id="11" w:name="three-threads-to-watch-on-the-call"/>
    <w:p>
      <w:pPr>
        <w:pStyle w:val="Heading2"/>
      </w:pPr>
      <w:r>
        <w:t xml:space="preserve">Three Threads to Watch on the Call</w:t>
      </w:r>
    </w:p>
    <w:p>
      <w:pPr>
        <w:pStyle w:val="FirstParagraph"/>
      </w:pPr>
      <w:r>
        <w:rPr>
          <w:b/>
          <w:bCs/>
        </w:rPr>
        <w:t xml:space="preserve">1. Middle East disruption vs. recovery timeline.</w:t>
      </w:r>
      <w:r>
        <w:t xml:space="preserve"> </w:t>
      </w:r>
      <w:r>
        <w:t xml:space="preserve">Management's own framing in April was that the world is now "structurally tighter" on oil and gas and that energy security concerns support a "durably stronger commodity environment," even as near-term Middle East activity (Saudi Arabia, Qatar, Iraq, Kuwait, UAE offshore) remains impaired. Investors will want an update on the pace of any restart, updated cost impacts, and whether the recently announced</w:t>
      </w:r>
      <w:r>
        <w:t xml:space="preserve"> </w:t>
      </w:r>
      <w:r>
        <w:rPr>
          <w:b/>
          <w:bCs/>
        </w:rPr>
        <w:t xml:space="preserve">Aramco contract wins</w:t>
      </w:r>
      <w:r>
        <w:t xml:space="preserve"> </w:t>
      </w:r>
      <w:r>
        <w:t xml:space="preserve">— a multi-year unconventional gas development deal and a separate lump-sum turnkey award covering roughly 285 onshore wells in Saudi Arabia — signal underlying customer confidence despite the regional turmoil.</w:t>
      </w:r>
    </w:p>
    <w:p>
      <w:pPr>
        <w:pStyle w:val="BodyText"/>
      </w:pPr>
      <w:r>
        <w:rPr>
          <w:b/>
          <w:bCs/>
        </w:rPr>
        <w:t xml:space="preserve">2. North America "early innings" recovery.</w:t>
      </w:r>
      <w:r>
        <w:t xml:space="preserve"> </w:t>
      </w:r>
      <w:r>
        <w:t xml:space="preserve">Last quarter, COO Shannon Slocum described several positive signposts: the frac calendar white space for the first half of the year had "all but gone," inbound calls for spot crews were rising, premium/dual-fuel equipment was tightening toward sold-out levels, and H2 discussions were firming. Zacks' consensus reflects this optimism, modeling C&amp;P segment operating income rising to roughly $479 million in Q2 from $439 million in Q1. Piper Sandler upgraded HAL to Overweight on July 14 (PT raised to $43 from</w:t>
      </w:r>
      <w:r>
        <w:t xml:space="preserve"> </w:t>
      </w:r>
      <m:oMath>
        <m:r>
          <m:t>40</m:t>
        </m:r>
        <m:r>
          <m:rPr>
            <m:sty m:val="p"/>
          </m:rPr>
          <m:t>)</m:t>
        </m:r>
        <m:r>
          <m:rPr>
            <m:sty m:val="p"/>
          </m:rPr>
          <m:t>,</m:t>
        </m:r>
        <m:r>
          <m:t>c</m:t>
        </m:r>
        <m:r>
          <m:t>i</m:t>
        </m:r>
        <m:r>
          <m:t>t</m:t>
        </m:r>
        <m:r>
          <m:t>i</m:t>
        </m:r>
        <m:r>
          <m:t>n</m:t>
        </m:r>
        <m:r>
          <m:t>g</m:t>
        </m:r>
        <m:r>
          <m:t>s</m:t>
        </m:r>
        <m:r>
          <m:t>o</m:t>
        </m:r>
        <m:r>
          <m:t>l</m:t>
        </m:r>
        <m:r>
          <m:t>i</m:t>
        </m:r>
        <m:r>
          <m:t>d</m:t>
        </m:r>
        <m:r>
          <m:t>U</m:t>
        </m:r>
        <m:r>
          <m:rPr>
            <m:sty m:val="p"/>
          </m:rPr>
          <m:t>.</m:t>
        </m:r>
        <m:r>
          <m:t>S</m:t>
        </m:r>
        <m:r>
          <m:rPr>
            <m:sty m:val="p"/>
          </m:rPr>
          <m:t>.</m:t>
        </m:r>
        <m:r>
          <m:t>l</m:t>
        </m:r>
        <m:r>
          <m:t>a</m:t>
        </m:r>
        <m:r>
          <m:t>n</m:t>
        </m:r>
        <m:r>
          <m:t>d</m:t>
        </m:r>
        <m:r>
          <m:t>f</m:t>
        </m:r>
        <m:r>
          <m:t>u</m:t>
        </m:r>
        <m:r>
          <m:t>n</m:t>
        </m:r>
        <m:r>
          <m:t>d</m:t>
        </m:r>
        <m:r>
          <m:t>a</m:t>
        </m:r>
        <m:r>
          <m:t>m</m:t>
        </m:r>
        <m:r>
          <m:t>e</m:t>
        </m:r>
        <m:r>
          <m:t>n</m:t>
        </m:r>
        <m:r>
          <m:t>t</m:t>
        </m:r>
        <m:r>
          <m:t>a</m:t>
        </m:r>
        <m:r>
          <m:t>l</m:t>
        </m:r>
        <m:r>
          <m:t>s</m:t>
        </m:r>
        <m:r>
          <m:rPr>
            <m:sty m:val="p"/>
          </m:rPr>
          <m:t>,</m:t>
        </m:r>
        <m:r>
          <m:t>a</m:t>
        </m:r>
        <m:r>
          <m:t>c</m:t>
        </m:r>
        <m:r>
          <m:t>o</m:t>
        </m:r>
        <m:r>
          <m:t>n</m:t>
        </m:r>
        <m:r>
          <m:t>s</m:t>
        </m:r>
        <m:r>
          <m:t>t</m:t>
        </m:r>
        <m:r>
          <m:t>r</m:t>
        </m:r>
        <m:r>
          <m:t>u</m:t>
        </m:r>
        <m:r>
          <m:t>c</m:t>
        </m:r>
        <m:r>
          <m:t>t</m:t>
        </m:r>
        <m:r>
          <m:t>i</m:t>
        </m:r>
        <m:r>
          <m:t>v</m:t>
        </m:r>
        <m:r>
          <m:t>e</m:t>
        </m:r>
        <m:r>
          <m:t>2027</m:t>
        </m:r>
        <m:r>
          <m:rPr>
            <m:sty m:val="p"/>
          </m:rPr>
          <m:t>/</m:t>
        </m:r>
        <m:r>
          <m:t>2028</m:t>
        </m:r>
        <m:r>
          <m:t>o</m:t>
        </m:r>
        <m:r>
          <m:t>i</m:t>
        </m:r>
        <m:r>
          <m:t>l</m:t>
        </m:r>
        <m:r>
          <m:t>p</m:t>
        </m:r>
        <m:r>
          <m:t>r</m:t>
        </m:r>
        <m:r>
          <m:t>i</m:t>
        </m:r>
        <m:r>
          <m:t>c</m:t>
        </m:r>
        <m:r>
          <m:t>e</m:t>
        </m:r>
        <m:r>
          <m:t>s</m:t>
        </m:r>
        <m:r>
          <m:t>t</m:t>
        </m:r>
        <m:r>
          <m:t>r</m:t>
        </m:r>
        <m:r>
          <m:t>i</m:t>
        </m:r>
        <m:r>
          <m:t>p</m:t>
        </m:r>
        <m:r>
          <m:rPr>
            <m:sty m:val="p"/>
          </m:rPr>
          <m:t>(</m:t>
        </m:r>
        <m:r>
          <m:t> </m:t>
        </m:r>
      </m:oMath>
      <w:r>
        <w:t xml:space="preserve">70/</w:t>
      </w:r>
      <m:oMath>
        <m:r>
          <m:t>67</m:t>
        </m:r>
        <m:r>
          <m:t>p</m:t>
        </m:r>
        <m:r>
          <m:t>e</m:t>
        </m:r>
        <m:r>
          <m:t>r</m:t>
        </m:r>
        <m:r>
          <m:t>b</m:t>
        </m:r>
        <m:r>
          <m:t>a</m:t>
        </m:r>
        <m:r>
          <m:t>r</m:t>
        </m:r>
        <m:r>
          <m:t>r</m:t>
        </m:r>
        <m:r>
          <m:t>e</m:t>
        </m:r>
        <m:r>
          <m:t>l</m:t>
        </m:r>
        <m:r>
          <m:t>v</m:t>
        </m:r>
        <m:r>
          <m:t>s</m:t>
        </m:r>
        <m:r>
          <m:rPr>
            <m:sty m:val="p"/>
          </m:rPr>
          <m:t>.</m:t>
        </m:r>
        <m:r>
          <m:t>s</m:t>
        </m:r>
        <m:r>
          <m:t>u</m:t>
        </m:r>
        <m:r>
          <m:t>b</m:t>
        </m:r>
        <m:r>
          <m:rPr>
            <m:sty m:val="p"/>
          </m:rPr>
          <m:t>−</m:t>
        </m:r>
      </m:oMath>
      <w:r>
        <w:t xml:space="preserve">60 exiting 2025), rig adds, and tightening frac utilization as white space is absorbed. Confirmation of actual pricing improvement — not just tighter availability — will be the real tell.</w:t>
      </w:r>
    </w:p>
    <w:p>
      <w:pPr>
        <w:pStyle w:val="BodyText"/>
      </w:pPr>
      <w:r>
        <w:rPr>
          <w:b/>
          <w:bCs/>
        </w:rPr>
        <w:t xml:space="preserve">3. International growth engines outside the Middle East.</w:t>
      </w:r>
      <w:r>
        <w:t xml:space="preserve"> </w:t>
      </w:r>
      <w:r>
        <w:t xml:space="preserve">Latin America (Argentina's YPF multi-year frac award, Brazil, Ecuador, the Caribbean), Norway, West Africa (Namibia, Nigeria) and offshore wins (Guyana, and the new GranMorgu deepwater contract with TotalEnergies offshore Suriname) were called out as the drivers behind a full-year mid-to-high-single-digit revenue growth guide for international markets ex-Middle East. Watch for whether that growth outlook is reiterated or trimmed given softer oil prices earlier in the quarter before the latest escalation.</w:t>
      </w:r>
    </w:p>
    <w:bookmarkEnd w:id="11"/>
    <w:bookmarkStart w:id="12" w:name="capital-returns-and-balance-sheet"/>
    <w:p>
      <w:pPr>
        <w:pStyle w:val="Heading2"/>
      </w:pPr>
      <w:r>
        <w:t xml:space="preserve">Capital Returns and Balance Sheet</w:t>
      </w:r>
    </w:p>
    <w:p>
      <w:pPr>
        <w:pStyle w:val="FirstParagraph"/>
      </w:pPr>
      <w:r>
        <w:t xml:space="preserve">HAL entered 2026 running buybacks below its prior</w:t>
      </w:r>
      <w:r>
        <w:t xml:space="preserve"> </w:t>
      </w:r>
      <m:oMath>
        <m:r>
          <m:t>250</m:t>
        </m:r>
        <m:r>
          <m:t>M</m:t>
        </m:r>
        <m:r>
          <m:rPr>
            <m:sty m:val="p"/>
          </m:rPr>
          <m:t>/</m:t>
        </m:r>
        <m:r>
          <m:t>q</m:t>
        </m:r>
        <m:r>
          <m:t>u</m:t>
        </m:r>
        <m:r>
          <m:t>a</m:t>
        </m:r>
        <m:r>
          <m:t>r</m:t>
        </m:r>
        <m:r>
          <m:t>t</m:t>
        </m:r>
        <m:r>
          <m:t>e</m:t>
        </m:r>
        <m:r>
          <m:t>r</m:t>
        </m:r>
        <m:r>
          <m:t>p</m:t>
        </m:r>
        <m:r>
          <m:t>a</m:t>
        </m:r>
        <m:r>
          <m:t>c</m:t>
        </m:r>
        <m:r>
          <m:t>e</m:t>
        </m:r>
        <m:r>
          <m:rPr>
            <m:sty m:val="p"/>
          </m:rPr>
          <m:t>,</m:t>
        </m:r>
        <m:r>
          <m:t>e</m:t>
        </m:r>
        <m:r>
          <m:t>x</m:t>
        </m:r>
        <m:r>
          <m:t>p</m:t>
        </m:r>
        <m:r>
          <m:t>l</m:t>
        </m:r>
        <m:r>
          <m:t>i</m:t>
        </m:r>
        <m:r>
          <m:t>c</m:t>
        </m:r>
        <m:r>
          <m:t>i</m:t>
        </m:r>
        <m:r>
          <m:t>t</m:t>
        </m:r>
        <m:r>
          <m:t>l</m:t>
        </m:r>
        <m:r>
          <m:t>y</m:t>
        </m:r>
        <m:r>
          <m:t>c</m:t>
        </m:r>
        <m:r>
          <m:t>i</m:t>
        </m:r>
        <m:r>
          <m:t>t</m:t>
        </m:r>
        <m:r>
          <m:t>i</m:t>
        </m:r>
        <m:r>
          <m:t>n</m:t>
        </m:r>
        <m:r>
          <m:t>g</m:t>
        </m:r>
        <m:r>
          <m:t>m</m:t>
        </m:r>
        <m:r>
          <m:t>a</m:t>
        </m:r>
        <m:r>
          <m:t>c</m:t>
        </m:r>
        <m:r>
          <m:t>r</m:t>
        </m:r>
        <m:r>
          <m:t>o</m:t>
        </m:r>
        <m:r>
          <m:t>c</m:t>
        </m:r>
        <m:r>
          <m:t>a</m:t>
        </m:r>
        <m:r>
          <m:t>u</m:t>
        </m:r>
        <m:r>
          <m:t>t</m:t>
        </m:r>
        <m:r>
          <m:t>i</m:t>
        </m:r>
        <m:r>
          <m:t>o</m:t>
        </m:r>
        <m:r>
          <m:t>n</m:t>
        </m:r>
        <m:r>
          <m:rPr>
            <m:sty m:val="p"/>
          </m:rPr>
          <m:t>;</m:t>
        </m:r>
        <m:r>
          <m:t>m</m:t>
        </m:r>
        <m:r>
          <m:t>a</m:t>
        </m:r>
        <m:r>
          <m:t>n</m:t>
        </m:r>
        <m:r>
          <m:t>a</m:t>
        </m:r>
        <m:r>
          <m:t>g</m:t>
        </m:r>
        <m:r>
          <m:t>e</m:t>
        </m:r>
        <m:r>
          <m:t>m</m:t>
        </m:r>
        <m:r>
          <m:t>e</m:t>
        </m:r>
        <m:r>
          <m:t>n</m:t>
        </m:r>
        <m:r>
          <m:t>t</m:t>
        </m:r>
        <m:r>
          <m:t>g</m:t>
        </m:r>
        <m:r>
          <m:t>u</m:t>
        </m:r>
        <m:r>
          <m:t>i</m:t>
        </m:r>
        <m:r>
          <m:t>d</m:t>
        </m:r>
        <m:r>
          <m:t>e</m:t>
        </m:r>
        <m:r>
          <m:t>d</m:t>
        </m:r>
        <m:r>
          <m:t>t</m:t>
        </m:r>
        <m:r>
          <m:t>o</m:t>
        </m:r>
        <m:r>
          <m:t>a</m:t>
        </m:r>
        <m:r>
          <m:t>s</m:t>
        </m:r>
        <m:r>
          <m:t>t</m:t>
        </m:r>
        <m:r>
          <m:t>e</m:t>
        </m:r>
        <m:r>
          <m:t>p</m:t>
        </m:r>
        <m:r>
          <m:rPr>
            <m:sty m:val="p"/>
          </m:rPr>
          <m:t>−</m:t>
        </m:r>
        <m:r>
          <m:t>u</m:t>
        </m:r>
        <m:r>
          <m:t>p</m:t>
        </m:r>
        <m:r>
          <m:t>t</m:t>
        </m:r>
        <m:r>
          <m:t>h</m:t>
        </m:r>
        <m:r>
          <m:t>r</m:t>
        </m:r>
        <m:r>
          <m:t>o</m:t>
        </m:r>
        <m:r>
          <m:t>u</m:t>
        </m:r>
        <m:r>
          <m:t>g</m:t>
        </m:r>
        <m:r>
          <m:t>h</m:t>
        </m:r>
        <m:r>
          <m:t>t</m:t>
        </m:r>
        <m:r>
          <m:t>h</m:t>
        </m:r>
        <m:r>
          <m:t>e</m:t>
        </m:r>
        <m:r>
          <m:t>y</m:t>
        </m:r>
        <m:r>
          <m:t>e</m:t>
        </m:r>
        <m:r>
          <m:t>a</m:t>
        </m:r>
        <m:r>
          <m:t>r</m:t>
        </m:r>
        <m:r>
          <m:rPr>
            <m:sty m:val="p"/>
          </m:rPr>
          <m:t>.</m:t>
        </m:r>
        <m:r>
          <m:t>T</m:t>
        </m:r>
        <m:r>
          <m:t>h</m:t>
        </m:r>
        <m:r>
          <m:t>e</m:t>
        </m:r>
        <m:r>
          <m:t>b</m:t>
        </m:r>
        <m:r>
          <m:t>o</m:t>
        </m:r>
        <m:r>
          <m:t>a</m:t>
        </m:r>
        <m:r>
          <m:t>r</m:t>
        </m:r>
        <m:r>
          <m:t>d</m:t>
        </m:r>
        <m:r>
          <m:t>d</m:t>
        </m:r>
        <m:r>
          <m:t>e</m:t>
        </m:r>
        <m:r>
          <m:t>c</m:t>
        </m:r>
        <m:r>
          <m:t>l</m:t>
        </m:r>
        <m:r>
          <m:t>a</m:t>
        </m:r>
        <m:r>
          <m:t>r</m:t>
        </m:r>
        <m:r>
          <m:t>e</m:t>
        </m:r>
        <m:r>
          <m:t>d</m:t>
        </m:r>
        <m:r>
          <m:t>a</m:t>
        </m:r>
        <m:r>
          <m:rPr>
            <m:sty m:val="p"/>
          </m:rPr>
          <m:t>*</m:t>
        </m:r>
        <m:r>
          <m:rPr>
            <m:sty m:val="p"/>
          </m:rPr>
          <m:t>*</m:t>
        </m:r>
      </m:oMath>
      <w:r>
        <w:t xml:space="preserve">0.17/share Q2 dividend**, consistent with Q1. Watch for confirmation of the buyback trajectory and any change in capex plans (guided at ~$1.1B for 2026, weighted toward growth engines like electric fleets, drilling automation, and the VoltaGrid power venture, which separately secured $1 billion in equity backing from Blackstone).</w:t>
      </w:r>
    </w:p>
    <w:bookmarkEnd w:id="12"/>
    <w:bookmarkStart w:id="13" w:name="sentiment-valuation-and-price-action"/>
    <w:p>
      <w:pPr>
        <w:pStyle w:val="Heading2"/>
      </w:pPr>
      <w:r>
        <w:t xml:space="preserve">Sentiment, Valuation, and Price Action</w:t>
      </w:r>
    </w:p>
    <w:p>
      <w:pPr>
        <w:pStyle w:val="FirstParagraph"/>
      </w:pPr>
      <w:r>
        <w:t xml:space="preserve">HAL shares have been volatile: the stock ran from roughly $38 around the April earnings date to a mid-May peak near $43, then fell over 20% into the low $30s amid Middle East uncertainty and broader oilfield-services weakness, before stabilizing around</w:t>
      </w:r>
      <w:r>
        <w:t xml:space="preserve"> </w:t>
      </w:r>
      <w:r>
        <w:t xml:space="preserve">$35 heading into this print. Sentiment ahead of the print is described as having "eased slightly following a recent drop in oil prices," though the stock is still seen as attractively valued with "healthy fundamentals" and growing exposure to non-oilfield markets (power/data-center adjacent VoltaGrid). Recent sell-side actions are mixed-to-constructive: Piper Sandler upgraded to Overweight ($</w:t>
      </w:r>
      <w:r>
        <w:t xml:space="preserve">43 PT) on July 14; Morgan Stanley trimmed its target slightly to $41 (still Overweight) heading into the print; BofA also nudged its target down to $42 while maintaining Buy; UBS raised its target to $40 (Neutral) while modeling Q2 adjusted EPS of $0.55, slightly above the Street.</w:t>
      </w:r>
    </w:p>
    <w:bookmarkEnd w:id="13"/>
    <w:bookmarkStart w:id="14" w:name="bottom-line-for-investors"/>
    <w:p>
      <w:pPr>
        <w:pStyle w:val="Heading2"/>
      </w:pPr>
      <w:r>
        <w:t xml:space="preserve">Bottom Line for Investors</w:t>
      </w:r>
    </w:p>
    <w:p>
      <w:pPr>
        <w:pStyle w:val="FirstParagraph"/>
      </w:pPr>
      <w:r>
        <w:t xml:space="preserve">This is a print where the headline beat/miss on a roughly $0.54 consensus EPS matters less than the qualitative read-through on two offsetting forces: (1) how much worse the Middle East disruption got as the ceasefire collapsed and conflict escalated into Kuwait and shipping lanes in June/July, versus the</w:t>
      </w:r>
      <w:r>
        <w:t xml:space="preserve"> </w:t>
      </w:r>
      <m:oMath>
        <m:r>
          <m:t>0.07</m:t>
        </m:r>
        <m:r>
          <m:rPr>
            <m:sty m:val="p"/>
          </m:rPr>
          <m:t>–</m:t>
        </m:r>
      </m:oMath>
      <w:r>
        <w:t xml:space="preserve">0.09/share hit management embedded in guidance, and (2) whether North America pricing is actually inflecting alongside the tightening equipment supply signals flagged last quarter. Confirmation of both a manageable Middle East drag and real NAM pricing traction would support the bullish "cheap valuation plus structurally tighter oil market" thesis that's driven recent upgrades; a bigger-than-guided Middle East hit or continued NAM pricing softness would validate the more cautious camp.</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2026-07-21T01:45:48Z</dcterms:created>
  <dcterms:modified xsi:type="dcterms:W3CDTF">2026-07-21T01:45:48Z</dcterms:modified>
</cp:coreProperties>
</file>

<file path=docProps/custom.xml><?xml version="1.0" encoding="utf-8"?>
<Properties xmlns="http://schemas.openxmlformats.org/officeDocument/2006/custom-properties" xmlns:vt="http://schemas.openxmlformats.org/officeDocument/2006/docPropsVTypes"/>
</file>