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l-earnings-predictions--2026-07-21"/>
    <w:p>
      <w:pPr>
        <w:pStyle w:val="Heading1"/>
      </w:pPr>
      <w:r>
        <w:t xml:space="preserve">HAL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~$0.55 vs. cons $0.54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~$5.53B vs. cons $5.50B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Completion &amp; Production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~15.5% vs. cons 15.4%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~$0.51 vs. cons $0.59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~$5.50B vs. cons $5.67B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Completion &amp; Production operating-margin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~15.7% vs. cons 15.9%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-5.6% (FOLLOW-THROUGH)</w:t>
            </w:r>
          </w:p>
        </w:tc>
        <w:tc>
          <w:tcPr/>
          <w:p>
            <w:pPr>
              <w:pStyle w:val="Compact"/>
            </w:pPr>
            <w:r>
              <w:t xml:space="preserve">An approximately in-line 2Q report is outweighed by implicit estimate cuts: 3Q26 EPS guide of ~$0.51 vs. consensus</w:t>
            </w:r>
            <w:r>
              <w:t xml:space="preserve"> </w:t>
            </w:r>
            <m:oMath>
              <m:r>
                <m:t>0.59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5.50B vs. $5.67B should pull out-period estimates lower after day one, although stronger oil prices and North American tightening provide some support.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2026-07-21T00:34:55Z</dcterms:created>
  <dcterms:modified xsi:type="dcterms:W3CDTF">2026-07-21T00:34:55Z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