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halliburton-hal-2q26-earnings-preview"/>
    <w:p>
      <w:pPr>
        <w:pStyle w:val="Heading1"/>
      </w:pPr>
      <w:r>
        <w:t xml:space="preserve">Halliburton (HAL) 2Q26 Earnings Preview</w:t>
      </w:r>
    </w:p>
    <w:p>
      <w:pPr>
        <w:pStyle w:val="BlockText"/>
      </w:pPr>
      <w:r>
        <w:rPr>
          <w:b/>
          <w:bCs/>
        </w:rPr>
        <w:t xml:space="preserve">Timing note:</w:t>
      </w:r>
      <w:r>
        <w:t xml:space="preserve"> </w:t>
      </w:r>
      <w:r>
        <w:t xml:space="preserve">Halliburton’s official announcement schedules the report for</w:t>
      </w:r>
      <w:r>
        <w:t xml:space="preserve"> </w:t>
      </w:r>
      <w:r>
        <w:rPr>
          <w:b/>
          <w:bCs/>
        </w:rPr>
        <w:t xml:space="preserve">Tuesday, July 21, 2026</w:t>
      </w:r>
      <w:r>
        <w:t xml:space="preserve">, before the U.S. market opens, followed by the call at</w:t>
      </w:r>
      <w:r>
        <w:t xml:space="preserve"> </w:t>
      </w:r>
      <w:r>
        <w:rPr>
          <w:b/>
          <w:bCs/>
        </w:rPr>
        <w:t xml:space="preserve">9:00 a.m. ET</w:t>
      </w:r>
      <w:r>
        <w:t xml:space="preserve">. Given today is July 21, the report is due</w:t>
      </w:r>
      <w:r>
        <w:t xml:space="preserve"> </w:t>
      </w:r>
      <w:r>
        <w:rPr>
          <w:b/>
          <w:bCs/>
        </w:rPr>
        <w:t xml:space="preserve">today—not tomorrow</w:t>
      </w:r>
      <w:r>
        <w:t xml:space="preserve">.</w:t>
      </w:r>
    </w:p>
    <w:bookmarkStart w:id="9" w:name="investment-view-going-into-the-print"/>
    <w:p>
      <w:pPr>
        <w:pStyle w:val="Heading2"/>
      </w:pPr>
      <w:r>
        <w:t xml:space="preserve">Investment view going into the print</w:t>
      </w:r>
    </w:p>
    <w:p>
      <w:pPr>
        <w:pStyle w:val="FirstParagraph"/>
      </w:pPr>
      <w:r>
        <w:t xml:space="preserve">The reported quarter should be relatively straightforward: Halliburton’s prior guidance effectively points to approximately</w:t>
      </w:r>
      <w:r>
        <w:t xml:space="preserve"> </w:t>
      </w:r>
      <w:r>
        <w:rPr>
          <w:b/>
          <w:bCs/>
        </w:rPr>
        <w:t xml:space="preserve">$5.5 billion of revenue and $0.54 of EPS</w:t>
      </w:r>
      <w:r>
        <w:t xml:space="preserve">, broadly matching consensus. The more consequential questions concern the second half:</w:t>
      </w:r>
    </w:p>
    <w:p>
      <w:pPr>
        <w:pStyle w:val="Compact"/>
        <w:numPr>
          <w:ilvl w:val="0"/>
          <w:numId w:val="1001"/>
        </w:numPr>
      </w:pPr>
      <w:r>
        <w:t xml:space="preserve">How much additional disruption will renewed Middle East hostilities cause?</w:t>
      </w:r>
    </w:p>
    <w:p>
      <w:pPr>
        <w:pStyle w:val="Compact"/>
        <w:numPr>
          <w:ilvl w:val="0"/>
          <w:numId w:val="1001"/>
        </w:numPr>
      </w:pPr>
      <w:r>
        <w:t xml:space="preserve">Is improving North American demand translating into actual pricing and margins?</w:t>
      </w:r>
    </w:p>
    <w:p>
      <w:pPr>
        <w:pStyle w:val="Compact"/>
        <w:numPr>
          <w:ilvl w:val="0"/>
          <w:numId w:val="1001"/>
        </w:numPr>
      </w:pPr>
      <w:r>
        <w:t xml:space="preserve">Can strength in Latin America and offshore markets offset Middle East weakness?</w:t>
      </w:r>
    </w:p>
    <w:p>
      <w:pPr>
        <w:pStyle w:val="Compact"/>
        <w:numPr>
          <w:ilvl w:val="0"/>
          <w:numId w:val="1001"/>
        </w:numPr>
      </w:pPr>
      <w:r>
        <w:t xml:space="preserve">Will Halliburton accelerate buybacks and cash returns as previously indicated?</w:t>
      </w:r>
    </w:p>
    <w:p>
      <w:pPr>
        <w:pStyle w:val="FirstParagraph"/>
      </w:pPr>
      <w:r>
        <w:t xml:space="preserve">The quarter ended June 30, so the latest July escalation around the Strait of Hormuz will primarily affect</w:t>
      </w:r>
      <w:r>
        <w:t xml:space="preserve"> </w:t>
      </w:r>
      <w:r>
        <w:rPr>
          <w:b/>
          <w:bCs/>
        </w:rPr>
        <w:t xml:space="preserve">third-quarter guidance and management commentary</w:t>
      </w:r>
      <w:r>
        <w:t xml:space="preserve">, rather than the reported second-quarter numbers.</w:t>
      </w:r>
    </w:p>
    <w:p>
      <w:r>
        <w:pict>
          <v:rect style="width:0;height:1.5pt" o:hralign="center" o:hrstd="t" o:hr="t"/>
        </w:pict>
      </w:r>
    </w:p>
    <w:bookmarkEnd w:id="9"/>
    <w:bookmarkStart w:id="10" w:name="headline-expectations"/>
    <w:p>
      <w:pPr>
        <w:pStyle w:val="Heading2"/>
      </w:pPr>
      <w:r>
        <w:t xml:space="preserve">Headline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expectation / implied guide</w:t>
            </w:r>
          </w:p>
        </w:tc>
        <w:tc>
          <w:tcPr/>
          <w:p>
            <w:pPr>
              <w:pStyle w:val="Compact"/>
              <w:jc w:val="right"/>
            </w:pPr>
            <w:r>
              <w:t xml:space="preserve">2Q25 actual</w:t>
            </w:r>
          </w:p>
        </w:tc>
      </w:tr>
      <w:tr>
        <w:tc>
          <w:tcPr/>
          <w:p>
            <w:pPr>
              <w:pStyle w:val="Compact"/>
            </w:pPr>
            <w:r>
              <w:t xml:space="preserve">Revenue</w:t>
            </w:r>
          </w:p>
        </w:tc>
        <w:tc>
          <w:tcPr/>
          <w:p>
            <w:pPr>
              <w:pStyle w:val="Compact"/>
              <w:jc w:val="right"/>
            </w:pPr>
            <w:r>
              <w:t xml:space="preserve">$5.40B</w:t>
            </w:r>
          </w:p>
        </w:tc>
        <w:tc>
          <w:tcPr/>
          <w:p>
            <w:pPr>
              <w:pStyle w:val="Compact"/>
              <w:jc w:val="right"/>
            </w:pPr>
            <w:r>
              <w:rPr>
                <w:b/>
                <w:bCs/>
              </w:rPr>
              <w:t xml:space="preserve">Approximately $5.5B</w:t>
            </w:r>
          </w:p>
        </w:tc>
        <w:tc>
          <w:tcPr/>
          <w:p>
            <w:pPr>
              <w:pStyle w:val="Compact"/>
              <w:jc w:val="right"/>
            </w:pPr>
            <w:r>
              <w:t xml:space="preserve">$5.51B</w:t>
            </w:r>
          </w:p>
        </w:tc>
      </w:tr>
      <w:tr>
        <w:tc>
          <w:tcPr/>
          <w:p>
            <w:pPr>
              <w:pStyle w:val="Compact"/>
            </w:pPr>
            <w:r>
              <w:t xml:space="preserve">EPS</w:t>
            </w:r>
          </w:p>
        </w:tc>
        <w:tc>
          <w:tcPr/>
          <w:p>
            <w:pPr>
              <w:pStyle w:val="Compact"/>
              <w:jc w:val="right"/>
            </w:pPr>
            <w:r>
              <w:t xml:space="preserve">$0.55</w:t>
            </w:r>
          </w:p>
        </w:tc>
        <w:tc>
          <w:tcPr/>
          <w:p>
            <w:pPr>
              <w:pStyle w:val="Compact"/>
              <w:jc w:val="right"/>
            </w:pPr>
            <w:r>
              <w:rPr>
                <w:b/>
                <w:bCs/>
              </w:rPr>
              <w:t xml:space="preserve">Street: approximately $0.54</w:t>
            </w:r>
          </w:p>
        </w:tc>
        <w:tc>
          <w:tcPr/>
          <w:p>
            <w:pPr>
              <w:pStyle w:val="Compact"/>
              <w:jc w:val="right"/>
            </w:pPr>
            <w:r>
              <w:t xml:space="preserve">$0.55</w:t>
            </w:r>
          </w:p>
        </w:tc>
      </w:tr>
      <w:tr>
        <w:tc>
          <w:tcPr/>
          <w:p>
            <w:pPr>
              <w:pStyle w:val="Compact"/>
            </w:pPr>
            <w:r>
              <w:t xml:space="preserve">Operating margin</w:t>
            </w:r>
          </w:p>
        </w:tc>
        <w:tc>
          <w:tcPr/>
          <w:p>
            <w:pPr>
              <w:pStyle w:val="Compact"/>
              <w:jc w:val="right"/>
            </w:pPr>
            <w:r>
              <w:t xml:space="preserve">13.0%</w:t>
            </w:r>
          </w:p>
        </w:tc>
        <w:tc>
          <w:tcPr/>
          <w:p>
            <w:pPr>
              <w:pStyle w:val="Compact"/>
              <w:jc w:val="right"/>
            </w:pPr>
            <w:r>
              <w:t xml:space="preserve">Roughly comparable sequentially</w:t>
            </w:r>
          </w:p>
        </w:tc>
        <w:tc>
          <w:tcPr/>
          <w:p>
            <w:pPr>
              <w:pStyle w:val="Compact"/>
              <w:jc w:val="right"/>
            </w:pPr>
            <w:r>
              <w:t xml:space="preserve">13.2%</w:t>
            </w:r>
          </w:p>
        </w:tc>
      </w:tr>
      <w:tr>
        <w:tc>
          <w:tcPr/>
          <w:p>
            <w:pPr>
              <w:pStyle w:val="Compact"/>
            </w:pPr>
            <w:r>
              <w:t xml:space="preserve">C&amp;P revenue</w:t>
            </w:r>
          </w:p>
        </w:tc>
        <w:tc>
          <w:tcPr/>
          <w:p>
            <w:pPr>
              <w:pStyle w:val="Compact"/>
              <w:jc w:val="right"/>
            </w:pPr>
            <w:r>
              <w:t xml:space="preserve">$3.02B</w:t>
            </w:r>
          </w:p>
        </w:tc>
        <w:tc>
          <w:tcPr/>
          <w:p>
            <w:pPr>
              <w:pStyle w:val="Compact"/>
              <w:jc w:val="right"/>
            </w:pPr>
            <m:oMath>
              <m:r>
                <m:t>3.14</m:t>
              </m:r>
              <m:r>
                <m:t>B</m:t>
              </m:r>
              <m:r>
                <m:rPr>
                  <m:sty m:val="p"/>
                </m:rPr>
                <m:t>–</m:t>
              </m:r>
            </m:oMath>
            <w:r>
              <w:rPr>
                <w:b/>
                <w:bCs/>
              </w:rPr>
              <w:t xml:space="preserve">3.20B</w:t>
            </w:r>
          </w:p>
        </w:tc>
        <w:tc>
          <w:tcPr/>
          <w:p>
            <w:pPr>
              <w:pStyle w:val="Compact"/>
              <w:jc w:val="right"/>
            </w:pPr>
            <w:r>
              <w:t xml:space="preserve">$3.17B</w:t>
            </w:r>
          </w:p>
        </w:tc>
      </w:tr>
      <w:tr>
        <w:tc>
          <w:tcPr/>
          <w:p>
            <w:pPr>
              <w:pStyle w:val="Compact"/>
            </w:pPr>
            <w:r>
              <w:t xml:space="preserve">D&amp;E revenue</w:t>
            </w:r>
          </w:p>
        </w:tc>
        <w:tc>
          <w:tcPr/>
          <w:p>
            <w:pPr>
              <w:pStyle w:val="Compact"/>
              <w:jc w:val="right"/>
            </w:pPr>
            <w:r>
              <w:t xml:space="preserve">$2.39B</w:t>
            </w:r>
          </w:p>
        </w:tc>
        <w:tc>
          <w:tcPr/>
          <w:p>
            <w:pPr>
              <w:pStyle w:val="Compact"/>
              <w:jc w:val="right"/>
            </w:pPr>
            <m:oMath>
              <m:r>
                <m:t>2.34</m:t>
              </m:r>
              <m:r>
                <m:t>B</m:t>
              </m:r>
              <m:r>
                <m:rPr>
                  <m:sty m:val="p"/>
                </m:rPr>
                <m:t>–</m:t>
              </m:r>
            </m:oMath>
            <w:r>
              <w:rPr>
                <w:b/>
                <w:bCs/>
              </w:rPr>
              <w:t xml:space="preserve">2.39B</w:t>
            </w:r>
          </w:p>
        </w:tc>
        <w:tc>
          <w:tcPr/>
          <w:p>
            <w:pPr>
              <w:pStyle w:val="Compact"/>
              <w:jc w:val="right"/>
            </w:pPr>
            <w:r>
              <w:t xml:space="preserve">$2.34B</w:t>
            </w:r>
          </w:p>
        </w:tc>
      </w:tr>
    </w:tbl>
    <w:p>
      <w:pPr>
        <w:pStyle w:val="BodyText"/>
      </w:pPr>
      <w:r>
        <w:t xml:space="preserve">Management’s divisional guidance implies consolidated revenue of approximately</w:t>
      </w:r>
      <w:r>
        <w:t xml:space="preserve"> </w:t>
      </w:r>
      <w:r>
        <w:rPr>
          <w:b/>
          <w:bCs/>
        </w:rPr>
        <w:t xml:space="preserve">$5.48 billion to $5.58 billion</w:t>
      </w:r>
      <w:r>
        <w:t xml:space="preserve">, with a midpoint near</w:t>
      </w:r>
      <w:r>
        <w:t xml:space="preserve"> </w:t>
      </w:r>
      <m:oMath>
        <m:r>
          <m:t>5.53</m:t>
        </m:r>
        <m:r>
          <m:t>b</m:t>
        </m:r>
        <m:r>
          <m:t>i</m:t>
        </m:r>
        <m:r>
          <m:t>l</m:t>
        </m:r>
        <m:r>
          <m:t>l</m:t>
        </m:r>
        <m:r>
          <m:t>i</m:t>
        </m:r>
        <m:r>
          <m:t>o</m:t>
        </m:r>
        <m:r>
          <m:t>n</m:t>
        </m:r>
        <m:r>
          <m:rPr>
            <m:sty m:val="p"/>
          </m:rPr>
          <m:t>.</m:t>
        </m:r>
        <m:r>
          <m:t>A</m:t>
        </m:r>
        <m:r>
          <m:t>s</m:t>
        </m:r>
        <m:r>
          <m:t>i</m:t>
        </m:r>
        <m:r>
          <m:t>m</m:t>
        </m:r>
        <m:r>
          <m:t>p</m:t>
        </m:r>
        <m:r>
          <m:t>l</m:t>
        </m:r>
        <m:r>
          <m:t>i</m:t>
        </m:r>
        <m:r>
          <m:t>f</m:t>
        </m:r>
        <m:r>
          <m:t>i</m:t>
        </m:r>
        <m:r>
          <m:t>e</m:t>
        </m:r>
        <m:r>
          <m:t>d</m:t>
        </m:r>
        <m:r>
          <m:t>m</m:t>
        </m:r>
        <m:r>
          <m:t>o</m:t>
        </m:r>
        <m:r>
          <m:t>d</m:t>
        </m:r>
        <m:r>
          <m:t>e</m:t>
        </m:r>
        <m:r>
          <m:t>l</m:t>
        </m:r>
        <m:r>
          <m:t>u</m:t>
        </m:r>
        <m:r>
          <m:t>s</m:t>
        </m:r>
        <m:r>
          <m:t>i</m:t>
        </m:r>
        <m:r>
          <m:t>n</m:t>
        </m:r>
        <m:r>
          <m:t>g</m:t>
        </m:r>
        <m:r>
          <m:t>i</m:t>
        </m:r>
        <m:r>
          <m:t>t</m:t>
        </m:r>
        <m:r>
          <m:t>s</m:t>
        </m:r>
        <m:r>
          <m:t>t</m:t>
        </m:r>
        <m:r>
          <m:t>a</m:t>
        </m:r>
        <m:r>
          <m:t>x</m:t>
        </m:r>
        <m:r>
          <m:rPr>
            <m:sty m:val="p"/>
          </m:rPr>
          <m:t>,</m:t>
        </m:r>
        <m:r>
          <m:t>i</m:t>
        </m:r>
        <m:r>
          <m:t>n</m:t>
        </m:r>
        <m:r>
          <m:t>t</m:t>
        </m:r>
        <m:r>
          <m:t>e</m:t>
        </m:r>
        <m:r>
          <m:t>r</m:t>
        </m:r>
        <m:r>
          <m:t>e</m:t>
        </m:r>
        <m:r>
          <m:t>s</m:t>
        </m:r>
        <m:r>
          <m:t>t</m:t>
        </m:r>
        <m:r>
          <m:rPr>
            <m:sty m:val="p"/>
          </m:rPr>
          <m:t>,</m:t>
        </m:r>
        <m:r>
          <m:t>c</m:t>
        </m:r>
        <m:r>
          <m:t>o</m:t>
        </m:r>
        <m:r>
          <m:t>r</m:t>
        </m:r>
        <m:r>
          <m:t>p</m:t>
        </m:r>
        <m:r>
          <m:t>o</m:t>
        </m:r>
        <m:r>
          <m:t>r</m:t>
        </m:r>
        <m:r>
          <m:t>a</m:t>
        </m:r>
        <m:r>
          <m:t>t</m:t>
        </m:r>
        <m:r>
          <m:t>e</m:t>
        </m:r>
        <m:r>
          <m:rPr>
            <m:sty m:val="p"/>
          </m:rPr>
          <m:t>−</m:t>
        </m:r>
        <m:r>
          <m:t>c</m:t>
        </m:r>
        <m:r>
          <m:t>o</m:t>
        </m:r>
        <m:r>
          <m:t>s</m:t>
        </m:r>
        <m:r>
          <m:t>t</m:t>
        </m:r>
        <m:r>
          <m:t>a</m:t>
        </m:r>
        <m:r>
          <m:t>n</m:t>
        </m:r>
        <m:r>
          <m:t>d</m:t>
        </m:r>
        <m:r>
          <m:t>s</m:t>
        </m:r>
        <m:r>
          <m:t>e</m:t>
        </m:r>
        <m:r>
          <m:t>g</m:t>
        </m:r>
        <m:r>
          <m:t>m</m:t>
        </m:r>
        <m:r>
          <m:t>e</m:t>
        </m:r>
        <m:r>
          <m:t>n</m:t>
        </m:r>
        <m:r>
          <m:t>t</m:t>
        </m:r>
        <m:r>
          <m:rPr>
            <m:sty m:val="p"/>
          </m:rPr>
          <m:t>−</m:t>
        </m:r>
        <m:r>
          <m:t>m</m:t>
        </m:r>
        <m:r>
          <m:t>a</m:t>
        </m:r>
        <m:r>
          <m:t>r</m:t>
        </m:r>
        <m:r>
          <m:t>g</m:t>
        </m:r>
        <m:r>
          <m:t>i</m:t>
        </m:r>
        <m:r>
          <m:t>n</m:t>
        </m:r>
        <m:r>
          <m:t>a</m:t>
        </m:r>
        <m:r>
          <m:t>s</m:t>
        </m:r>
        <m:r>
          <m:t>s</m:t>
        </m:r>
        <m:r>
          <m:t>u</m:t>
        </m:r>
        <m:r>
          <m:t>m</m:t>
        </m:r>
        <m:r>
          <m:t>p</m:t>
        </m:r>
        <m:r>
          <m:t>t</m:t>
        </m:r>
        <m:r>
          <m:t>i</m:t>
        </m:r>
        <m:r>
          <m:t>o</m:t>
        </m:r>
        <m:r>
          <m:t>n</m:t>
        </m:r>
        <m:r>
          <m:t>s</m:t>
        </m:r>
        <m:r>
          <m:t>p</m:t>
        </m:r>
        <m:r>
          <m:t>r</m:t>
        </m:r>
        <m:r>
          <m:t>o</m:t>
        </m:r>
        <m:r>
          <m:t>d</m:t>
        </m:r>
        <m:r>
          <m:t>u</m:t>
        </m:r>
        <m:r>
          <m:t>c</m:t>
        </m:r>
        <m:r>
          <m:t>e</m:t>
        </m:r>
        <m:r>
          <m:t>s</m:t>
        </m:r>
        <m:r>
          <m:t>E</m:t>
        </m:r>
        <m:r>
          <m:t>P</m:t>
        </m:r>
        <m:r>
          <m:t>S</m:t>
        </m:r>
        <m:r>
          <m:t>c</m:t>
        </m:r>
        <m:r>
          <m:t>l</m:t>
        </m:r>
        <m:r>
          <m:t>o</m:t>
        </m:r>
        <m:r>
          <m:t>s</m:t>
        </m:r>
        <m:r>
          <m:t>e</m:t>
        </m:r>
        <m:r>
          <m:t>t</m:t>
        </m:r>
        <m:r>
          <m:t>o</m:t>
        </m:r>
        <m:r>
          <m:rPr>
            <m:sty m:val="p"/>
          </m:rPr>
          <m:t>*</m:t>
        </m:r>
        <m:r>
          <m:rPr>
            <m:sty m:val="p"/>
          </m:rPr>
          <m:t>*</m:t>
        </m:r>
      </m:oMath>
      <w:r>
        <w:t xml:space="preserve">0.54**.</w:t>
      </w:r>
    </w:p>
    <w:p>
      <w:pPr>
        <w:pStyle w:val="BodyText"/>
      </w:pPr>
      <w:r>
        <w:t xml:space="preserve">Accordingly, a small headline beat or miss is unlikely to settle the investment debate. The outlook will matter more.</w:t>
      </w:r>
    </w:p>
    <w:p>
      <w:r>
        <w:pict>
          <v:rect style="width:0;height:1.5pt" o:hralign="center" o:hrstd="t" o:hr="t"/>
        </w:pict>
      </w:r>
    </w:p>
    <w:bookmarkEnd w:id="10"/>
    <w:bookmarkStart w:id="12" w:name="the-central-issue-middle-east-disruption"/>
    <w:p>
      <w:pPr>
        <w:pStyle w:val="Heading2"/>
      </w:pPr>
      <w:r>
        <w:t xml:space="preserve">The central issue: Middle East disruption</w:t>
      </w:r>
    </w:p>
    <w:p>
      <w:pPr>
        <w:pStyle w:val="FirstParagraph"/>
      </w:pPr>
      <w:r>
        <w:t xml:space="preserve">Halliburton entered the quarter expecting the Middle East conflict to reduce second-quarter EPS by approximately</w:t>
      </w:r>
      <w:r>
        <w:t xml:space="preserve"> </w:t>
      </w:r>
      <m:oMath>
        <m:r>
          <m:t>0.07</m:t>
        </m:r>
        <m:r>
          <m:rPr>
            <m:sty m:val="p"/>
          </m:rPr>
          <m:t>–</m:t>
        </m:r>
      </m:oMath>
      <w:r>
        <w:rPr>
          <w:b/>
          <w:bCs/>
        </w:rPr>
        <w:t xml:space="preserve">0.09</w:t>
      </w:r>
      <w:r>
        <w:t xml:space="preserve">, versus a</w:t>
      </w:r>
      <w:r>
        <w:t xml:space="preserve"> </w:t>
      </w:r>
      <m:oMath>
        <m:r>
          <m:t>0.02</m:t>
        </m:r>
        <m:r>
          <m:rPr>
            <m:sty m:val="p"/>
          </m:rPr>
          <m:t>–</m:t>
        </m:r>
      </m:oMath>
      <w:r>
        <w:t xml:space="preserve">0.03 impact in the first quarter. The expected pressure came from two sources:</w:t>
      </w:r>
    </w:p>
    <w:p>
      <w:pPr>
        <w:pStyle w:val="Compact"/>
        <w:numPr>
          <w:ilvl w:val="0"/>
          <w:numId w:val="1002"/>
        </w:numPr>
      </w:pPr>
      <w:r>
        <w:t xml:space="preserve">Lost activity and revenue, particularly in offshore Qatar, the UAE and Saudi Arabia, and land operations in Iraq and Kuwait.</w:t>
      </w:r>
    </w:p>
    <w:p>
      <w:pPr>
        <w:pStyle w:val="Compact"/>
        <w:numPr>
          <w:ilvl w:val="0"/>
          <w:numId w:val="1002"/>
        </w:numPr>
      </w:pPr>
      <w:r>
        <w:t xml:space="preserve">Higher logistics, fuel, materials and supply-chain costs associated with alternative transportation routes.</w:t>
      </w:r>
    </w:p>
    <w:p>
      <w:pPr>
        <w:pStyle w:val="FirstParagraph"/>
      </w:pPr>
      <w:r>
        <w:t xml:space="preserve">Management’s second-quarter guidance assumed disruptions would remain near their late-first-quarter level, with some offshore work restarting around the middle of the quarter. It also warned that a delayed restart could create an</w:t>
      </w:r>
      <w:r>
        <w:t xml:space="preserve"> </w:t>
      </w:r>
      <w:r>
        <w:rPr>
          <w:b/>
          <w:bCs/>
        </w:rPr>
        <w:t xml:space="preserve">additional</w:t>
      </w:r>
      <w:r>
        <w:rPr>
          <w:b/>
          <w:bCs/>
        </w:rPr>
        <w:t xml:space="preserve"> </w:t>
      </w:r>
      <m:oMath>
        <m:r>
          <m:t>0.03</m:t>
        </m:r>
        <m:r>
          <m:rPr>
            <m:sty m:val="p"/>
          </m:rPr>
          <m:t>–</m:t>
        </m:r>
      </m:oMath>
      <w:r>
        <w:rPr>
          <w:b/>
          <w:bCs/>
        </w:rPr>
        <w:t xml:space="preserve">0.05 EPS impact</w:t>
      </w:r>
      <w:r>
        <w:t xml:space="preserve">.</w:t>
      </w:r>
    </w:p>
    <w:bookmarkStart w:id="11" w:name="what-investors-should-listen-for"/>
    <w:p>
      <w:pPr>
        <w:pStyle w:val="Heading3"/>
      </w:pPr>
      <w:r>
        <w:t xml:space="preserve">What investors should listen for</w:t>
      </w:r>
    </w:p>
    <w:p>
      <w:pPr>
        <w:pStyle w:val="Compact"/>
        <w:numPr>
          <w:ilvl w:val="0"/>
          <w:numId w:val="1003"/>
        </w:numPr>
      </w:pPr>
      <w:r>
        <w:t xml:space="preserve">Did the assumed offshore restart occur?</w:t>
      </w:r>
    </w:p>
    <w:p>
      <w:pPr>
        <w:pStyle w:val="Compact"/>
        <w:numPr>
          <w:ilvl w:val="0"/>
          <w:numId w:val="1003"/>
        </w:numPr>
      </w:pPr>
      <w:r>
        <w:t xml:space="preserve">How much of the extra logistics cost was passed through to customers?</w:t>
      </w:r>
    </w:p>
    <w:p>
      <w:pPr>
        <w:pStyle w:val="Compact"/>
        <w:numPr>
          <w:ilvl w:val="0"/>
          <w:numId w:val="1003"/>
        </w:numPr>
      </w:pPr>
      <w:r>
        <w:t xml:space="preserve">What percentage of Halliburton’s regional operations is currently active?</w:t>
      </w:r>
    </w:p>
    <w:p>
      <w:pPr>
        <w:pStyle w:val="Compact"/>
        <w:numPr>
          <w:ilvl w:val="0"/>
          <w:numId w:val="1003"/>
        </w:numPr>
      </w:pPr>
      <w:r>
        <w:t xml:space="preserve">Has July’s renewed escalation reversed any progress made during the second quarter?</w:t>
      </w:r>
    </w:p>
    <w:p>
      <w:pPr>
        <w:pStyle w:val="Compact"/>
        <w:numPr>
          <w:ilvl w:val="0"/>
          <w:numId w:val="1003"/>
        </w:numPr>
      </w:pPr>
      <w:r>
        <w:t xml:space="preserve">Can management provide a useful range for the third-quarter impact?</w:t>
      </w:r>
    </w:p>
    <w:p>
      <w:pPr>
        <w:pStyle w:val="Compact"/>
        <w:numPr>
          <w:ilvl w:val="0"/>
          <w:numId w:val="1003"/>
        </w:numPr>
      </w:pPr>
      <w:r>
        <w:t xml:space="preserve">Does intervention and workover demand eventually offset the near-term disruption as shut-in wells return to production?</w:t>
      </w:r>
    </w:p>
    <w:p>
      <w:pPr>
        <w:pStyle w:val="FirstParagraph"/>
      </w:pPr>
      <w:r>
        <w:t xml:space="preserve">The underlying issue is not only lost quarterly revenue. Longer shutdowns can make production restarts more complicated, potentially creating demand for Halliburton’s well-intervention, coiled-tubing and hydraulic-workover services. That would be a later-cycle benefit, however, while the immediate effect remains negative.</w:t>
      </w:r>
    </w:p>
    <w:p>
      <w:r>
        <w:pict>
          <v:rect style="width:0;height:1.5pt" o:hralign="center" o:hrstd="t" o:hr="t"/>
        </w:pict>
      </w:r>
    </w:p>
    <w:bookmarkEnd w:id="11"/>
    <w:bookmarkEnd w:id="12"/>
    <w:bookmarkStart w:id="14" w:name="X2cc74d4a4ca48bc000c97576caf18b01fe91f73"/>
    <w:p>
      <w:pPr>
        <w:pStyle w:val="Heading2"/>
      </w:pPr>
      <w:r>
        <w:t xml:space="preserve">Completion and Production: the likely source of upside</w:t>
      </w:r>
    </w:p>
    <w:p>
      <w:pPr>
        <w:pStyle w:val="FirstParagraph"/>
      </w:pPr>
      <w:r>
        <w:t xml:space="preserve">Halliburton guided Completion and Production revenue to rise</w:t>
      </w:r>
      <w:r>
        <w:t xml:space="preserve"> </w:t>
      </w:r>
      <w:r>
        <w:rPr>
          <w:b/>
          <w:bCs/>
        </w:rPr>
        <w:t xml:space="preserve">4%–6% sequentially</w:t>
      </w:r>
      <w:r>
        <w:t xml:space="preserve">, with margins improving</w:t>
      </w:r>
      <w:r>
        <w:t xml:space="preserve"> </w:t>
      </w:r>
      <w:r>
        <w:rPr>
          <w:b/>
          <w:bCs/>
        </w:rPr>
        <w:t xml:space="preserve">50–100 basis points</w:t>
      </w:r>
      <w:r>
        <w:t xml:space="preserve">. That implies:</w:t>
      </w:r>
    </w:p>
    <w:p>
      <w:pPr>
        <w:pStyle w:val="Compact"/>
        <w:numPr>
          <w:ilvl w:val="0"/>
          <w:numId w:val="1004"/>
        </w:numPr>
      </w:pPr>
      <w:r>
        <w:t xml:space="preserve">Revenue of approximately</w:t>
      </w:r>
      <w:r>
        <w:t xml:space="preserve"> </w:t>
      </w:r>
      <m:oMath>
        <m:r>
          <m:t>3.14</m:t>
        </m:r>
        <m:r>
          <m:t>B</m:t>
        </m:r>
        <m:r>
          <m:rPr>
            <m:sty m:val="p"/>
          </m:rPr>
          <m:t>–</m:t>
        </m:r>
      </m:oMath>
      <w:r>
        <w:rPr>
          <w:b/>
          <w:bCs/>
        </w:rPr>
        <w:t xml:space="preserve">3.20B</w:t>
      </w:r>
    </w:p>
    <w:p>
      <w:pPr>
        <w:pStyle w:val="Compact"/>
        <w:numPr>
          <w:ilvl w:val="0"/>
          <w:numId w:val="1004"/>
        </w:numPr>
      </w:pPr>
      <w:r>
        <w:t xml:space="preserve">Operating margin of roughly</w:t>
      </w:r>
      <w:r>
        <w:t xml:space="preserve"> </w:t>
      </w:r>
      <w:r>
        <w:rPr>
          <w:b/>
          <w:bCs/>
        </w:rPr>
        <w:t xml:space="preserve">15.1%–15.6%</w:t>
      </w:r>
    </w:p>
    <w:p>
      <w:pPr>
        <w:pStyle w:val="FirstParagraph"/>
      </w:pPr>
      <w:r>
        <w:t xml:space="preserve">This division is the most likely source of an upside surprise because it combines seasonal activity improvement with Halliburton’s exposure to U.S. hydraulic fracturing.</w:t>
      </w:r>
    </w:p>
    <w:bookmarkStart w:id="13" w:name="X9e79fba0469071de4e336cd7741f5257e9f85b2"/>
    <w:p>
      <w:pPr>
        <w:pStyle w:val="Heading3"/>
      </w:pPr>
      <w:r>
        <w:t xml:space="preserve">North American signals improved during 1Q</w:t>
      </w:r>
    </w:p>
    <w:p>
      <w:pPr>
        <w:pStyle w:val="FirstParagraph"/>
      </w:pPr>
      <w:r>
        <w:t xml:space="preserve">Management said:</w:t>
      </w:r>
    </w:p>
    <w:p>
      <w:pPr>
        <w:pStyle w:val="Compact"/>
        <w:numPr>
          <w:ilvl w:val="0"/>
          <w:numId w:val="1005"/>
        </w:numPr>
      </w:pPr>
      <w:r>
        <w:t xml:space="preserve">Previously open spaces in the second-quarter frac calendar had largely disappeared.</w:t>
      </w:r>
    </w:p>
    <w:p>
      <w:pPr>
        <w:pStyle w:val="Compact"/>
        <w:numPr>
          <w:ilvl w:val="0"/>
          <w:numId w:val="1005"/>
        </w:numPr>
      </w:pPr>
      <w:r>
        <w:t xml:space="preserve">Customers pulled work forward.</w:t>
      </w:r>
    </w:p>
    <w:p>
      <w:pPr>
        <w:pStyle w:val="Compact"/>
        <w:numPr>
          <w:ilvl w:val="0"/>
          <w:numId w:val="1005"/>
        </w:numPr>
      </w:pPr>
      <w:r>
        <w:t xml:space="preserve">Spot-work inquiries increased, especially among smaller operators.</w:t>
      </w:r>
    </w:p>
    <w:p>
      <w:pPr>
        <w:pStyle w:val="Compact"/>
        <w:numPr>
          <w:ilvl w:val="0"/>
          <w:numId w:val="1005"/>
        </w:numPr>
      </w:pPr>
      <w:r>
        <w:t xml:space="preserve">Premium dual-fuel and electric equipment was approaching full utilization.</w:t>
      </w:r>
    </w:p>
    <w:p>
      <w:pPr>
        <w:pStyle w:val="Compact"/>
        <w:numPr>
          <w:ilvl w:val="0"/>
          <w:numId w:val="1005"/>
        </w:numPr>
      </w:pPr>
      <w:r>
        <w:t xml:space="preserve">Second-half schedules were firming.</w:t>
      </w:r>
    </w:p>
    <w:p>
      <w:pPr>
        <w:pStyle w:val="FirstParagraph"/>
      </w:pPr>
      <w:r>
        <w:t xml:space="preserve">The key distinction is between</w:t>
      </w:r>
      <w:r>
        <w:t xml:space="preserve"> </w:t>
      </w:r>
      <w:r>
        <w:rPr>
          <w:b/>
          <w:bCs/>
        </w:rPr>
        <w:t xml:space="preserve">higher utilization</w:t>
      </w:r>
      <w:r>
        <w:t xml:space="preserve"> </w:t>
      </w:r>
      <w:r>
        <w:t xml:space="preserve">and</w:t>
      </w:r>
      <w:r>
        <w:t xml:space="preserve"> </w:t>
      </w:r>
      <w:r>
        <w:rPr>
          <w:b/>
          <w:bCs/>
        </w:rPr>
        <w:t xml:space="preserve">better economics</w:t>
      </w:r>
      <w:r>
        <w:t xml:space="preserve">. Investors will want evidence that improved demand is producing pricing increases on existing fleets—not simply filling calendars at weak rates.</w:t>
      </w:r>
    </w:p>
    <w:p>
      <w:pPr>
        <w:pStyle w:val="BodyText"/>
      </w:pPr>
      <w:r>
        <w:t xml:space="preserve">Questions to watch include:</w:t>
      </w:r>
    </w:p>
    <w:p>
      <w:pPr>
        <w:pStyle w:val="Compact"/>
        <w:numPr>
          <w:ilvl w:val="0"/>
          <w:numId w:val="1006"/>
        </w:numPr>
      </w:pPr>
      <w:r>
        <w:t xml:space="preserve">Are customers accepting higher prices for premium fleets?</w:t>
      </w:r>
    </w:p>
    <w:p>
      <w:pPr>
        <w:pStyle w:val="Compact"/>
        <w:numPr>
          <w:ilvl w:val="0"/>
          <w:numId w:val="1006"/>
        </w:numPr>
      </w:pPr>
      <w:r>
        <w:t xml:space="preserve">Is the market tight enough to support stronger second-half incremental margins?</w:t>
      </w:r>
    </w:p>
    <w:p>
      <w:pPr>
        <w:pStyle w:val="Compact"/>
        <w:numPr>
          <w:ilvl w:val="0"/>
          <w:numId w:val="1006"/>
        </w:numPr>
      </w:pPr>
      <w:r>
        <w:t xml:space="preserve">Have operators begun discussing longer-duration 2027 programs?</w:t>
      </w:r>
    </w:p>
    <w:p>
      <w:pPr>
        <w:pStyle w:val="Compact"/>
        <w:numPr>
          <w:ilvl w:val="0"/>
          <w:numId w:val="1006"/>
        </w:numPr>
      </w:pPr>
      <w:r>
        <w:t xml:space="preserve">Are rig additions beginning to follow the improvement in frac demand?</w:t>
      </w:r>
    </w:p>
    <w:p>
      <w:pPr>
        <w:pStyle w:val="Compact"/>
        <w:numPr>
          <w:ilvl w:val="0"/>
          <w:numId w:val="1006"/>
        </w:numPr>
      </w:pPr>
      <w:r>
        <w:t xml:space="preserve">How much North American equipment is being redeployed to Argentina?</w:t>
      </w:r>
    </w:p>
    <w:p>
      <w:pPr>
        <w:pStyle w:val="FirstParagraph"/>
      </w:pPr>
      <w:r>
        <w:t xml:space="preserve">Halliburton has said its first priority is to repair returns on existing equipment before adding capacity. A disciplined answer would be favorable; an announcement of broad speculative capacity additions would be less so.</w:t>
      </w:r>
    </w:p>
    <w:p>
      <w:r>
        <w:pict>
          <v:rect style="width:0;height:1.5pt" o:hralign="center" o:hrstd="t" o:hr="t"/>
        </w:pict>
      </w:r>
    </w:p>
    <w:bookmarkEnd w:id="13"/>
    <w:bookmarkEnd w:id="14"/>
    <w:bookmarkStart w:id="15" w:name="Xb90950a02834802e3be9d7c42bae726a1b9a4e9"/>
    <w:p>
      <w:pPr>
        <w:pStyle w:val="Heading2"/>
      </w:pPr>
      <w:r>
        <w:t xml:space="preserve">Drilling and Evaluation: expect a sequential margin decline</w:t>
      </w:r>
    </w:p>
    <w:p>
      <w:pPr>
        <w:pStyle w:val="FirstParagraph"/>
      </w:pPr>
      <w:r>
        <w:t xml:space="preserve">Halliburton guided Drilling and Evaluation revenue to be</w:t>
      </w:r>
      <w:r>
        <w:t xml:space="preserve"> </w:t>
      </w:r>
      <w:r>
        <w:rPr>
          <w:b/>
          <w:bCs/>
        </w:rPr>
        <w:t xml:space="preserve">flat to down 2% sequentially</w:t>
      </w:r>
      <w:r>
        <w:t xml:space="preserve">, with margins declining</w:t>
      </w:r>
      <w:r>
        <w:t xml:space="preserve"> </w:t>
      </w:r>
      <w:r>
        <w:rPr>
          <w:b/>
          <w:bCs/>
        </w:rPr>
        <w:t xml:space="preserve">75–125 basis points</w:t>
      </w:r>
      <w:r>
        <w:t xml:space="preserve">. That implies:</w:t>
      </w:r>
    </w:p>
    <w:p>
      <w:pPr>
        <w:pStyle w:val="Compact"/>
        <w:numPr>
          <w:ilvl w:val="0"/>
          <w:numId w:val="1007"/>
        </w:numPr>
      </w:pPr>
      <w:r>
        <w:t xml:space="preserve">Revenue of approximately</w:t>
      </w:r>
      <w:r>
        <w:t xml:space="preserve"> </w:t>
      </w:r>
      <m:oMath>
        <m:r>
          <m:t>2.34</m:t>
        </m:r>
        <m:r>
          <m:t>B</m:t>
        </m:r>
        <m:r>
          <m:rPr>
            <m:sty m:val="p"/>
          </m:rPr>
          <m:t>–</m:t>
        </m:r>
      </m:oMath>
      <w:r>
        <w:rPr>
          <w:b/>
          <w:bCs/>
        </w:rPr>
        <w:t xml:space="preserve">2.39B</w:t>
      </w:r>
    </w:p>
    <w:p>
      <w:pPr>
        <w:pStyle w:val="Compact"/>
        <w:numPr>
          <w:ilvl w:val="0"/>
          <w:numId w:val="1007"/>
        </w:numPr>
      </w:pPr>
      <w:r>
        <w:t xml:space="preserve">Operating margin of roughly</w:t>
      </w:r>
      <w:r>
        <w:t xml:space="preserve"> </w:t>
      </w:r>
      <w:r>
        <w:rPr>
          <w:b/>
          <w:bCs/>
        </w:rPr>
        <w:t xml:space="preserve">13.5%–14.0%</w:t>
      </w:r>
    </w:p>
    <w:p>
      <w:pPr>
        <w:pStyle w:val="FirstParagraph"/>
      </w:pPr>
      <w:r>
        <w:t xml:space="preserve">The principal reason is the seasonal roll-off in software sales. Middle East weakness is another pressure point.</w:t>
      </w:r>
    </w:p>
    <w:p>
      <w:pPr>
        <w:pStyle w:val="BodyText"/>
      </w:pPr>
      <w:r>
        <w:t xml:space="preserve">This means investors should not interpret a sequential D&amp;E margin decline as inherently disappointing. The relevant test is whether the decline stays within guidance and whether management remains confident in longer-term offshore growth.</w:t>
      </w:r>
    </w:p>
    <w:p>
      <w:pPr>
        <w:pStyle w:val="BodyText"/>
      </w:pPr>
      <w:r>
        <w:t xml:space="preserve">Potential offsets include:</w:t>
      </w:r>
    </w:p>
    <w:p>
      <w:pPr>
        <w:pStyle w:val="Compact"/>
        <w:numPr>
          <w:ilvl w:val="0"/>
          <w:numId w:val="1008"/>
        </w:numPr>
      </w:pPr>
      <w:r>
        <w:t xml:space="preserve">Automated drilling and geosteering technology</w:t>
      </w:r>
    </w:p>
    <w:p>
      <w:pPr>
        <w:pStyle w:val="Compact"/>
        <w:numPr>
          <w:ilvl w:val="0"/>
          <w:numId w:val="1008"/>
        </w:numPr>
      </w:pPr>
      <w:r>
        <w:t xml:space="preserve">Guyana and Suriname developments</w:t>
      </w:r>
    </w:p>
    <w:p>
      <w:pPr>
        <w:pStyle w:val="Compact"/>
        <w:numPr>
          <w:ilvl w:val="0"/>
          <w:numId w:val="1008"/>
        </w:numPr>
      </w:pPr>
      <w:r>
        <w:t xml:space="preserve">Brazilian deepwater activity</w:t>
      </w:r>
    </w:p>
    <w:p>
      <w:pPr>
        <w:pStyle w:val="Compact"/>
        <w:numPr>
          <w:ilvl w:val="0"/>
          <w:numId w:val="1008"/>
        </w:numPr>
      </w:pPr>
      <w:r>
        <w:t xml:space="preserve">Norwegian projects</w:t>
      </w:r>
    </w:p>
    <w:p>
      <w:pPr>
        <w:pStyle w:val="Compact"/>
        <w:numPr>
          <w:ilvl w:val="0"/>
          <w:numId w:val="1008"/>
        </w:numPr>
      </w:pPr>
      <w:r>
        <w:t xml:space="preserve">West African development programs</w:t>
      </w:r>
    </w:p>
    <w:p>
      <w:pPr>
        <w:pStyle w:val="Compact"/>
        <w:numPr>
          <w:ilvl w:val="0"/>
          <w:numId w:val="1008"/>
        </w:numPr>
      </w:pPr>
      <w:r>
        <w:t xml:space="preserve">Benefits from the Sekal rig-automation acquisition</w:t>
      </w:r>
    </w:p>
    <w:p>
      <w:r>
        <w:pict>
          <v:rect style="width:0;height:1.5pt" o:hralign="center" o:hrstd="t" o:hr="t"/>
        </w:pict>
      </w:r>
    </w:p>
    <w:bookmarkEnd w:id="15"/>
    <w:bookmarkStart w:id="18" w:name="Xc63655f812a235bce71d91ad92c23d296e9c2c5"/>
    <w:p>
      <w:pPr>
        <w:pStyle w:val="Heading2"/>
      </w:pPr>
      <w:r>
        <w:t xml:space="preserve">International growth outside the Middle East</w:t>
      </w:r>
    </w:p>
    <w:p>
      <w:pPr>
        <w:pStyle w:val="FirstParagraph"/>
      </w:pPr>
      <w:r>
        <w:t xml:space="preserve">First-quarter international revenue increased 3% year over year despite a</w:t>
      </w:r>
      <w:r>
        <w:t xml:space="preserve"> </w:t>
      </w:r>
      <w:r>
        <w:rPr>
          <w:b/>
          <w:bCs/>
        </w:rPr>
        <w:t xml:space="preserve">13% decline in Middle East/Asia</w:t>
      </w:r>
      <w:r>
        <w:t xml:space="preserve">. The offset came from:</w:t>
      </w:r>
    </w:p>
    <w:p>
      <w:pPr>
        <w:pStyle w:val="Compact"/>
        <w:numPr>
          <w:ilvl w:val="0"/>
          <w:numId w:val="1009"/>
        </w:numPr>
      </w:pPr>
      <w:r>
        <w:rPr>
          <w:b/>
          <w:bCs/>
        </w:rPr>
        <w:t xml:space="preserve">Latin America:</w:t>
      </w:r>
      <w:r>
        <w:t xml:space="preserve"> </w:t>
      </w:r>
      <w:r>
        <w:t xml:space="preserve">up 22%</w:t>
      </w:r>
    </w:p>
    <w:p>
      <w:pPr>
        <w:pStyle w:val="Compact"/>
        <w:numPr>
          <w:ilvl w:val="0"/>
          <w:numId w:val="1009"/>
        </w:numPr>
      </w:pPr>
      <w:r>
        <w:rPr>
          <w:b/>
          <w:bCs/>
        </w:rPr>
        <w:t xml:space="preserve">Europe/Africa:</w:t>
      </w:r>
      <w:r>
        <w:t xml:space="preserve"> </w:t>
      </w:r>
      <w:r>
        <w:t xml:space="preserve">up 11%</w:t>
      </w:r>
    </w:p>
    <w:p>
      <w:pPr>
        <w:pStyle w:val="FirstParagraph"/>
      </w:pPr>
      <w:r>
        <w:t xml:space="preserve">Management expected international revenue outside the Middle East to grow at a</w:t>
      </w:r>
      <w:r>
        <w:t xml:space="preserve"> </w:t>
      </w:r>
      <w:r>
        <w:rPr>
          <w:b/>
          <w:bCs/>
        </w:rPr>
        <w:t xml:space="preserve">mid- to high-single-digit rate for 2026</w:t>
      </w:r>
      <w:r>
        <w:t xml:space="preserve">, led by Latin America.</w:t>
      </w:r>
    </w:p>
    <w:bookmarkStart w:id="16" w:name="argentina-is-increasingly-important"/>
    <w:p>
      <w:pPr>
        <w:pStyle w:val="Heading3"/>
      </w:pPr>
      <w:r>
        <w:t xml:space="preserve">Argentina is increasingly important</w:t>
      </w:r>
    </w:p>
    <w:p>
      <w:pPr>
        <w:pStyle w:val="FirstParagraph"/>
      </w:pPr>
      <w:r>
        <w:t xml:space="preserve">Halliburton won a multiyear, multibillion-dollar integrated completion-services award from YPF. The contract includes the first international deployment of its ZEUS electric-fracturing platform and OCTIV Auto Frac technology.</w:t>
      </w:r>
    </w:p>
    <w:p>
      <w:pPr>
        <w:pStyle w:val="BodyText"/>
      </w:pPr>
      <w:r>
        <w:t xml:space="preserve">Investors should look for:</w:t>
      </w:r>
    </w:p>
    <w:p>
      <w:pPr>
        <w:pStyle w:val="Compact"/>
        <w:numPr>
          <w:ilvl w:val="0"/>
          <w:numId w:val="1010"/>
        </w:numPr>
      </w:pPr>
      <w:r>
        <w:t xml:space="preserve">The number and timing of fleets entering Argentina</w:t>
      </w:r>
    </w:p>
    <w:p>
      <w:pPr>
        <w:pStyle w:val="Compact"/>
        <w:numPr>
          <w:ilvl w:val="0"/>
          <w:numId w:val="1010"/>
        </w:numPr>
      </w:pPr>
      <w:r>
        <w:t xml:space="preserve">Start-up and mobilization costs</w:t>
      </w:r>
    </w:p>
    <w:p>
      <w:pPr>
        <w:pStyle w:val="Compact"/>
        <w:numPr>
          <w:ilvl w:val="0"/>
          <w:numId w:val="1010"/>
        </w:numPr>
      </w:pPr>
      <w:r>
        <w:t xml:space="preserve">Whether the program is already contributing materially to revenue</w:t>
      </w:r>
    </w:p>
    <w:p>
      <w:pPr>
        <w:pStyle w:val="Compact"/>
        <w:numPr>
          <w:ilvl w:val="0"/>
          <w:numId w:val="1010"/>
        </w:numPr>
      </w:pPr>
      <w:r>
        <w:t xml:space="preserve">Contract margins relative to the C&amp;P segment average</w:t>
      </w:r>
    </w:p>
    <w:p>
      <w:pPr>
        <w:pStyle w:val="Compact"/>
        <w:numPr>
          <w:ilvl w:val="0"/>
          <w:numId w:val="1010"/>
        </w:numPr>
      </w:pPr>
      <w:r>
        <w:t xml:space="preserve">Evidence the model can expand into other international unconventional basins</w:t>
      </w:r>
    </w:p>
    <w:p>
      <w:pPr>
        <w:pStyle w:val="FirstParagraph"/>
      </w:pPr>
      <w:r>
        <w:t xml:space="preserve">The contract is strategically positive, but near-term mobilization spending could initially limit margin contribution.</w:t>
      </w:r>
    </w:p>
    <w:bookmarkEnd w:id="16"/>
    <w:bookmarkStart w:id="17" w:name="X9462c60572f525114c887f4c9b5b91ebade7625"/>
    <w:p>
      <w:pPr>
        <w:pStyle w:val="Heading3"/>
      </w:pPr>
      <w:r>
        <w:t xml:space="preserve">Offshore remains a second major growth pillar</w:t>
      </w:r>
    </w:p>
    <w:p>
      <w:pPr>
        <w:pStyle w:val="FirstParagraph"/>
      </w:pPr>
      <w:r>
        <w:t xml:space="preserve">Halliburton expects offshore growth across 2026–2028, supported by development work in Guyana, Suriname, Brazil, Norway and West Africa. Updates on project awards and mobilization schedules could help demonstrate that international growth is broader than one Argentine contract.</w:t>
      </w:r>
    </w:p>
    <w:p>
      <w:r>
        <w:pict>
          <v:rect style="width:0;height:1.5pt" o:hralign="center" o:hrstd="t" o:hr="t"/>
        </w:pict>
      </w:r>
    </w:p>
    <w:bookmarkEnd w:id="17"/>
    <w:bookmarkEnd w:id="18"/>
    <w:bookmarkStart w:id="19" w:name="cash-flow-and-shareholder-returns"/>
    <w:p>
      <w:pPr>
        <w:pStyle w:val="Heading2"/>
      </w:pPr>
      <w:r>
        <w:t xml:space="preserve">Cash flow and shareholder returns</w:t>
      </w:r>
    </w:p>
    <w:p>
      <w:pPr>
        <w:pStyle w:val="FirstParagraph"/>
      </w:pPr>
      <w:r>
        <w:t xml:space="preserve">First-quarter free cash flow was only</w:t>
      </w:r>
      <w:r>
        <w:t xml:space="preserve"> </w:t>
      </w:r>
      <w:r>
        <w:rPr>
          <w:b/>
          <w:bCs/>
        </w:rPr>
        <w:t xml:space="preserve">$123 million</w:t>
      </w:r>
      <w:r>
        <w:t xml:space="preserve">, reflecting normal working-capital pressure and $192 million of capital expenditure. Cash generation should improve seasonally in the second quarter.</w:t>
      </w:r>
    </w:p>
    <w:p>
      <w:pPr>
        <w:pStyle w:val="BodyText"/>
      </w:pPr>
      <w:r>
        <w:t xml:space="preserve">Halliburton repurchased $100 million of shares in 1Q, down from its prior $250 million quarterly pace. Management explicitly said:</w:t>
      </w:r>
    </w:p>
    <w:p>
      <w:pPr>
        <w:pStyle w:val="Compact"/>
        <w:numPr>
          <w:ilvl w:val="0"/>
          <w:numId w:val="1011"/>
        </w:numPr>
      </w:pPr>
      <w:r>
        <w:t xml:space="preserve">Second-quarter buybacks should exceed first-quarter buybacks.</w:t>
      </w:r>
    </w:p>
    <w:p>
      <w:pPr>
        <w:pStyle w:val="Compact"/>
        <w:numPr>
          <w:ilvl w:val="0"/>
          <w:numId w:val="1011"/>
        </w:numPr>
      </w:pPr>
      <w:r>
        <w:t xml:space="preserve">Second-half buybacks should exceed first-half buybacks.</w:t>
      </w:r>
    </w:p>
    <w:p>
      <w:pPr>
        <w:pStyle w:val="Compact"/>
        <w:numPr>
          <w:ilvl w:val="0"/>
          <w:numId w:val="1011"/>
        </w:numPr>
      </w:pPr>
      <w:r>
        <w:t xml:space="preserve">Its longer-term capital-return philosophy had not changed.</w:t>
      </w:r>
    </w:p>
    <w:p>
      <w:pPr>
        <w:pStyle w:val="FirstParagraph"/>
      </w:pPr>
      <w:r>
        <w:t xml:space="preserve">A buyback close to the old $250 million quarterly rate would be reassuring. A continued subdued pace—without a clear operational reason—could raise questions about cash-flow visibility or expected capital needs.</w:t>
      </w:r>
    </w:p>
    <w:p>
      <w:pPr>
        <w:pStyle w:val="BodyText"/>
      </w:pPr>
      <w:r>
        <w:t xml:space="preserve">Other items to monitor:</w:t>
      </w:r>
    </w:p>
    <w:p>
      <w:pPr>
        <w:pStyle w:val="Compact"/>
        <w:numPr>
          <w:ilvl w:val="0"/>
          <w:numId w:val="1012"/>
        </w:numPr>
      </w:pPr>
      <w:r>
        <w:t xml:space="preserve">Full-year capital expenditure guidance of approximately</w:t>
      </w:r>
      <w:r>
        <w:t xml:space="preserve"> </w:t>
      </w:r>
      <w:r>
        <w:rPr>
          <w:b/>
          <w:bCs/>
        </w:rPr>
        <w:t xml:space="preserve">$1.1 billion</w:t>
      </w:r>
    </w:p>
    <w:p>
      <w:pPr>
        <w:pStyle w:val="Compact"/>
        <w:numPr>
          <w:ilvl w:val="0"/>
          <w:numId w:val="1012"/>
        </w:numPr>
      </w:pPr>
      <w:r>
        <w:t xml:space="preserve">Working-capital conversion</w:t>
      </w:r>
    </w:p>
    <w:p>
      <w:pPr>
        <w:pStyle w:val="Compact"/>
        <w:numPr>
          <w:ilvl w:val="0"/>
          <w:numId w:val="1012"/>
        </w:numPr>
      </w:pPr>
      <w:r>
        <w:t xml:space="preserve">Whether growth projects push capital expenditure toward the upper end of the company’s 5%–6% of revenue framework</w:t>
      </w:r>
    </w:p>
    <w:p>
      <w:pPr>
        <w:pStyle w:val="Compact"/>
        <w:numPr>
          <w:ilvl w:val="0"/>
          <w:numId w:val="1012"/>
        </w:numPr>
      </w:pPr>
      <w:r>
        <w:t xml:space="preserve">Any incremental spending associated with Argentina, offshore awards or VoltaGrid-related opportunities</w:t>
      </w:r>
    </w:p>
    <w:p>
      <w:r>
        <w:pict>
          <v:rect style="width:0;height:1.5pt" o:hralign="center" o:hrstd="t" o:hr="t"/>
        </w:pict>
      </w:r>
    </w:p>
    <w:bookmarkEnd w:id="19"/>
    <w:bookmarkStart w:id="20" w:name="earnings-quality-considerations"/>
    <w:p>
      <w:pPr>
        <w:pStyle w:val="Heading2"/>
      </w:pPr>
      <w:r>
        <w:t xml:space="preserve">Earnings-quality considerations</w:t>
      </w:r>
    </w:p>
    <w:p>
      <w:pPr>
        <w:pStyle w:val="FirstParagraph"/>
      </w:pPr>
      <w:r>
        <w:t xml:space="preserve">Two items complicate sequential EPS comparisons:</w:t>
      </w:r>
    </w:p>
    <w:p>
      <w:pPr>
        <w:pStyle w:val="Compact"/>
        <w:numPr>
          <w:ilvl w:val="0"/>
          <w:numId w:val="1013"/>
        </w:numPr>
      </w:pPr>
      <w:r>
        <w:rPr>
          <w:b/>
          <w:bCs/>
        </w:rPr>
        <w:t xml:space="preserve">First-quarter EPS included a $32 million tax benefit</w:t>
      </w:r>
      <w:r>
        <w:t xml:space="preserve"> </w:t>
      </w:r>
      <w:r>
        <w:t xml:space="preserve">associated with a valuation-allowance release.</w:t>
      </w:r>
    </w:p>
    <w:p>
      <w:pPr>
        <w:pStyle w:val="Compact"/>
        <w:numPr>
          <w:ilvl w:val="0"/>
          <w:numId w:val="1013"/>
        </w:numPr>
      </w:pPr>
      <w:r>
        <w:t xml:space="preserve">Halliburton expects the second-quarter tax rate to be approximately</w:t>
      </w:r>
      <w:r>
        <w:t xml:space="preserve"> </w:t>
      </w:r>
      <w:r>
        <w:rPr>
          <w:b/>
          <w:bCs/>
        </w:rPr>
        <w:t xml:space="preserve">20%</w:t>
      </w:r>
      <w:r>
        <w:t xml:space="preserve">, versus 18.5% in the first quarter.</w:t>
      </w:r>
    </w:p>
    <w:p>
      <w:pPr>
        <w:pStyle w:val="FirstParagraph"/>
      </w:pPr>
      <w:r>
        <w:t xml:space="preserve">Therefore, flat EPS around</w:t>
      </w:r>
      <w:r>
        <w:t xml:space="preserve"> </w:t>
      </w:r>
      <m:oMath>
        <m:r>
          <m:t>0.54</m:t>
        </m:r>
        <m:r>
          <m:rPr>
            <m:sty m:val="p"/>
          </m:rPr>
          <m:t>–</m:t>
        </m:r>
      </m:oMath>
      <w:r>
        <w:t xml:space="preserve">0.55 could coexist with better underlying segment performance. Investors should focus on divisional operating income, margins and cash flow rather than comparing EPS mechanically with 1Q.</w:t>
      </w:r>
    </w:p>
    <w:p>
      <w:pPr>
        <w:pStyle w:val="BodyText"/>
      </w:pPr>
      <w:r>
        <w:t xml:space="preserve">Expected second-quarter below-the-line costs include:</w:t>
      </w:r>
    </w:p>
    <w:p>
      <w:pPr>
        <w:pStyle w:val="Compact"/>
        <w:numPr>
          <w:ilvl w:val="0"/>
          <w:numId w:val="1014"/>
        </w:numPr>
      </w:pPr>
      <w:r>
        <w:t xml:space="preserve">Corporate expense approximately $5 million higher sequentially</w:t>
      </w:r>
    </w:p>
    <w:p>
      <w:pPr>
        <w:pStyle w:val="Compact"/>
        <w:numPr>
          <w:ilvl w:val="0"/>
          <w:numId w:val="1014"/>
        </w:numPr>
      </w:pPr>
      <w:r>
        <w:t xml:space="preserve">SAP migration expense around $45 million</w:t>
      </w:r>
    </w:p>
    <w:p>
      <w:pPr>
        <w:pStyle w:val="Compact"/>
        <w:numPr>
          <w:ilvl w:val="0"/>
          <w:numId w:val="1014"/>
        </w:numPr>
      </w:pPr>
      <w:r>
        <w:t xml:space="preserve">Net interest expense approximately $5 million higher</w:t>
      </w:r>
    </w:p>
    <w:p>
      <w:pPr>
        <w:pStyle w:val="Compact"/>
        <w:numPr>
          <w:ilvl w:val="0"/>
          <w:numId w:val="1014"/>
        </w:numPr>
      </w:pPr>
      <w:r>
        <w:t xml:space="preserve">Other expense around $35 million</w:t>
      </w:r>
    </w:p>
    <w:p>
      <w:r>
        <w:pict>
          <v:rect style="width:0;height:1.5pt" o:hralign="center" o:hrstd="t" o:hr="t"/>
        </w:pict>
      </w:r>
    </w:p>
    <w:bookmarkEnd w:id="20"/>
    <w:bookmarkStart w:id="21" w:name="stock-setup"/>
    <w:p>
      <w:pPr>
        <w:pStyle w:val="Heading2"/>
      </w:pPr>
      <w:r>
        <w:t xml:space="preserve">Stock setup</w:t>
      </w:r>
    </w:p>
    <w:p>
      <w:pPr>
        <w:pStyle w:val="FirstParagraph"/>
      </w:pPr>
      <w:r>
        <w:t xml:space="preserve">HAL closed at</w:t>
      </w:r>
      <w:r>
        <w:t xml:space="preserve"> </w:t>
      </w:r>
      <w:r>
        <w:rPr>
          <w:b/>
          <w:bCs/>
        </w:rPr>
        <w:t xml:space="preserve">$35.12 on July 20</w:t>
      </w:r>
      <w:r>
        <w:t xml:space="preserve">, approximately 19% above its January 2 close but about 18% below its May high.</w:t>
      </w:r>
    </w:p>
    <w:p>
      <w:pPr>
        <w:pStyle w:val="BodyText"/>
      </w:pPr>
      <w:r>
        <w:t xml:space="preserve">That leaves a mixed setup:</w:t>
      </w:r>
    </w:p>
    <w:p>
      <w:pPr>
        <w:pStyle w:val="Compact"/>
        <w:numPr>
          <w:ilvl w:val="0"/>
          <w:numId w:val="1015"/>
        </w:numPr>
      </w:pPr>
      <w:r>
        <w:t xml:space="preserve">The stock has participated in the broader energy-services rally.</w:t>
      </w:r>
    </w:p>
    <w:p>
      <w:pPr>
        <w:pStyle w:val="Compact"/>
        <w:numPr>
          <w:ilvl w:val="0"/>
          <w:numId w:val="1015"/>
        </w:numPr>
      </w:pPr>
      <w:r>
        <w:t xml:space="preserve">It has also pulled back enough that expectations appear less demanding than they were in May.</w:t>
      </w:r>
    </w:p>
    <w:p>
      <w:pPr>
        <w:pStyle w:val="Compact"/>
        <w:numPr>
          <w:ilvl w:val="0"/>
          <w:numId w:val="1015"/>
        </w:numPr>
      </w:pPr>
      <w:r>
        <w:t xml:space="preserve">Current oil prices support the longer-term service-demand thesis.</w:t>
      </w:r>
    </w:p>
    <w:p>
      <w:pPr>
        <w:pStyle w:val="Compact"/>
        <w:numPr>
          <w:ilvl w:val="0"/>
          <w:numId w:val="1015"/>
        </w:numPr>
      </w:pPr>
      <w:r>
        <w:t xml:space="preserve">Yet the same Middle East conflict supporting oil prices is directly disrupting Halliburton’s regional operations.</w:t>
      </w:r>
    </w:p>
    <w:p>
      <w:pPr>
        <w:pStyle w:val="FirstParagraph"/>
      </w:pPr>
      <w:r>
        <w:t xml:space="preserve">This creates an unusual dynamic: the commodity backdrop is bullish, but the immediate earnings effect may be negative.</w:t>
      </w:r>
    </w:p>
    <w:p>
      <w:r>
        <w:pict>
          <v:rect style="width:0;height:1.5pt" o:hralign="center" o:hrstd="t" o:hr="t"/>
        </w:pict>
      </w:r>
    </w:p>
    <w:bookmarkEnd w:id="21"/>
    <w:bookmarkStart w:id="25" w:name="what-would-constitute-a-good-report"/>
    <w:p>
      <w:pPr>
        <w:pStyle w:val="Heading2"/>
      </w:pPr>
      <w:r>
        <w:t xml:space="preserve">What would constitute a good report?</w:t>
      </w:r>
    </w:p>
    <w:bookmarkStart w:id="22" w:name="bullish-outcome"/>
    <w:p>
      <w:pPr>
        <w:pStyle w:val="Heading3"/>
      </w:pPr>
      <w:r>
        <w:t xml:space="preserve">Bullish outcome</w:t>
      </w:r>
    </w:p>
    <w:p>
      <w:pPr>
        <w:pStyle w:val="Compact"/>
        <w:numPr>
          <w:ilvl w:val="0"/>
          <w:numId w:val="1016"/>
        </w:numPr>
      </w:pPr>
      <w:r>
        <w:t xml:space="preserve">Revenue and EPS at or above the upper half of guidance</w:t>
      </w:r>
    </w:p>
    <w:p>
      <w:pPr>
        <w:pStyle w:val="Compact"/>
        <w:numPr>
          <w:ilvl w:val="0"/>
          <w:numId w:val="1016"/>
        </w:numPr>
      </w:pPr>
      <w:r>
        <w:t xml:space="preserve">Middle East impact limited to the original</w:t>
      </w:r>
      <w:r>
        <w:t xml:space="preserve"> </w:t>
      </w:r>
      <m:oMath>
        <m:r>
          <m:t>0.07</m:t>
        </m:r>
        <m:r>
          <m:rPr>
            <m:sty m:val="p"/>
          </m:rPr>
          <m:t>–</m:t>
        </m:r>
      </m:oMath>
      <w:r>
        <w:t xml:space="preserve">0.09 range</w:t>
      </w:r>
    </w:p>
    <w:p>
      <w:pPr>
        <w:pStyle w:val="Compact"/>
        <w:numPr>
          <w:ilvl w:val="0"/>
          <w:numId w:val="1016"/>
        </w:numPr>
      </w:pPr>
      <w:r>
        <w:t xml:space="preserve">C&amp;P margin near or above 15.5%</w:t>
      </w:r>
    </w:p>
    <w:p>
      <w:pPr>
        <w:pStyle w:val="Compact"/>
        <w:numPr>
          <w:ilvl w:val="0"/>
          <w:numId w:val="1016"/>
        </w:numPr>
      </w:pPr>
      <w:r>
        <w:t xml:space="preserve">Clear North American pricing improvement</w:t>
      </w:r>
    </w:p>
    <w:p>
      <w:pPr>
        <w:pStyle w:val="Compact"/>
        <w:numPr>
          <w:ilvl w:val="0"/>
          <w:numId w:val="1016"/>
        </w:numPr>
      </w:pPr>
      <w:r>
        <w:t xml:space="preserve">Stronger second-half activity commitments or early rig additions</w:t>
      </w:r>
    </w:p>
    <w:p>
      <w:pPr>
        <w:pStyle w:val="Compact"/>
        <w:numPr>
          <w:ilvl w:val="0"/>
          <w:numId w:val="1016"/>
        </w:numPr>
      </w:pPr>
      <w:r>
        <w:t xml:space="preserve">Continued mid- to high-single-digit international growth outside the Middle East</w:t>
      </w:r>
    </w:p>
    <w:p>
      <w:pPr>
        <w:pStyle w:val="Compact"/>
        <w:numPr>
          <w:ilvl w:val="0"/>
          <w:numId w:val="1016"/>
        </w:numPr>
      </w:pPr>
      <w:r>
        <w:t xml:space="preserve">Buybacks returning toward a $250 million quarterly pace</w:t>
      </w:r>
    </w:p>
    <w:p>
      <w:pPr>
        <w:pStyle w:val="Compact"/>
        <w:numPr>
          <w:ilvl w:val="0"/>
          <w:numId w:val="1016"/>
        </w:numPr>
      </w:pPr>
      <w:r>
        <w:t xml:space="preserve">Constructive 3Q guidance despite July disruptions</w:t>
      </w:r>
    </w:p>
    <w:bookmarkEnd w:id="22"/>
    <w:bookmarkStart w:id="23" w:name="neutral-outcome"/>
    <w:p>
      <w:pPr>
        <w:pStyle w:val="Heading3"/>
      </w:pPr>
      <w:r>
        <w:t xml:space="preserve">Neutral outcome</w:t>
      </w:r>
    </w:p>
    <w:p>
      <w:pPr>
        <w:pStyle w:val="Compact"/>
        <w:numPr>
          <w:ilvl w:val="0"/>
          <w:numId w:val="1017"/>
        </w:numPr>
      </w:pPr>
      <w:r>
        <w:t xml:space="preserve">Revenue around $5.5 billion and EPS around $0.54</w:t>
      </w:r>
    </w:p>
    <w:p>
      <w:pPr>
        <w:pStyle w:val="Compact"/>
        <w:numPr>
          <w:ilvl w:val="0"/>
          <w:numId w:val="1017"/>
        </w:numPr>
      </w:pPr>
      <w:r>
        <w:t xml:space="preserve">Segment results within guidance</w:t>
      </w:r>
    </w:p>
    <w:p>
      <w:pPr>
        <w:pStyle w:val="Compact"/>
        <w:numPr>
          <w:ilvl w:val="0"/>
          <w:numId w:val="1017"/>
        </w:numPr>
      </w:pPr>
      <w:r>
        <w:t xml:space="preserve">Continued Middle East uncertainty without a major further deterioration</w:t>
      </w:r>
    </w:p>
    <w:p>
      <w:pPr>
        <w:pStyle w:val="Compact"/>
        <w:numPr>
          <w:ilvl w:val="0"/>
          <w:numId w:val="1017"/>
        </w:numPr>
      </w:pPr>
      <w:r>
        <w:t xml:space="preserve">North American utilization improving, but pricing gains still limited</w:t>
      </w:r>
    </w:p>
    <w:p>
      <w:pPr>
        <w:pStyle w:val="Compact"/>
        <w:numPr>
          <w:ilvl w:val="0"/>
          <w:numId w:val="1017"/>
        </w:numPr>
      </w:pPr>
      <w:r>
        <w:t xml:space="preserve">Buybacks modestly above 1Q</w:t>
      </w:r>
    </w:p>
    <w:bookmarkEnd w:id="23"/>
    <w:bookmarkStart w:id="24" w:name="bearish-outcome"/>
    <w:p>
      <w:pPr>
        <w:pStyle w:val="Heading3"/>
      </w:pPr>
      <w:r>
        <w:t xml:space="preserve">Bearish outcome</w:t>
      </w:r>
    </w:p>
    <w:p>
      <w:pPr>
        <w:pStyle w:val="Compact"/>
        <w:numPr>
          <w:ilvl w:val="0"/>
          <w:numId w:val="1018"/>
        </w:numPr>
      </w:pPr>
      <w:r>
        <w:t xml:space="preserve">Additional</w:t>
      </w:r>
      <w:r>
        <w:t xml:space="preserve"> </w:t>
      </w:r>
      <m:oMath>
        <m:r>
          <m:t>0.03</m:t>
        </m:r>
        <m:r>
          <m:rPr>
            <m:sty m:val="p"/>
          </m:rPr>
          <m:t>–</m:t>
        </m:r>
      </m:oMath>
      <w:r>
        <w:t xml:space="preserve">0.05 Middle East penalty materializes</w:t>
      </w:r>
    </w:p>
    <w:p>
      <w:pPr>
        <w:pStyle w:val="Compact"/>
        <w:numPr>
          <w:ilvl w:val="0"/>
          <w:numId w:val="1018"/>
        </w:numPr>
      </w:pPr>
      <w:r>
        <w:t xml:space="preserve">C&amp;P margin misses despite higher revenue</w:t>
      </w:r>
    </w:p>
    <w:p>
      <w:pPr>
        <w:pStyle w:val="Compact"/>
        <w:numPr>
          <w:ilvl w:val="0"/>
          <w:numId w:val="1018"/>
        </w:numPr>
      </w:pPr>
      <w:r>
        <w:t xml:space="preserve">North American “tightness” fails to translate into pricing</w:t>
      </w:r>
    </w:p>
    <w:p>
      <w:pPr>
        <w:pStyle w:val="Compact"/>
        <w:numPr>
          <w:ilvl w:val="0"/>
          <w:numId w:val="1018"/>
        </w:numPr>
      </w:pPr>
      <w:r>
        <w:t xml:space="preserve">Argentina mobilization or offshore start-up costs pressure margins</w:t>
      </w:r>
    </w:p>
    <w:p>
      <w:pPr>
        <w:pStyle w:val="Compact"/>
        <w:numPr>
          <w:ilvl w:val="0"/>
          <w:numId w:val="1018"/>
        </w:numPr>
      </w:pPr>
      <w:r>
        <w:t xml:space="preserve">Management withdraws or cuts international growth expectations</w:t>
      </w:r>
    </w:p>
    <w:p>
      <w:pPr>
        <w:pStyle w:val="Compact"/>
        <w:numPr>
          <w:ilvl w:val="0"/>
          <w:numId w:val="1018"/>
        </w:numPr>
      </w:pPr>
      <w:r>
        <w:t xml:space="preserve">Third-quarter guidance implies escalating regional disruption</w:t>
      </w:r>
    </w:p>
    <w:p>
      <w:pPr>
        <w:pStyle w:val="Compact"/>
        <w:numPr>
          <w:ilvl w:val="0"/>
          <w:numId w:val="1018"/>
        </w:numPr>
      </w:pPr>
      <w:r>
        <w:t xml:space="preserve">Capital returns remain subdued</w:t>
      </w:r>
    </w:p>
    <w:p>
      <w:r>
        <w:pict>
          <v:rect style="width:0;height:1.5pt" o:hralign="center" o:hrstd="t" o:hr="t"/>
        </w:pict>
      </w:r>
    </w:p>
    <w:bookmarkEnd w:id="24"/>
    <w:bookmarkEnd w:id="25"/>
    <w:bookmarkStart w:id="26" w:name="bottom-line"/>
    <w:p>
      <w:pPr>
        <w:pStyle w:val="Heading2"/>
      </w:pPr>
      <w:r>
        <w:t xml:space="preserve">Bottom line</w:t>
      </w:r>
    </w:p>
    <w:p>
      <w:pPr>
        <w:pStyle w:val="FirstParagraph"/>
      </w:pPr>
      <w:r>
        <w:t xml:space="preserve">This is less a test of whether Halliburton can produce</w:t>
      </w:r>
      <w:r>
        <w:t xml:space="preserve"> </w:t>
      </w:r>
      <w:r>
        <w:rPr>
          <w:b/>
          <w:bCs/>
        </w:rPr>
        <w:t xml:space="preserve">$0.54 of second-quarter EPS</w:t>
      </w:r>
      <w:r>
        <w:t xml:space="preserve"> </w:t>
      </w:r>
      <w:r>
        <w:t xml:space="preserve">than a test of whether the company’s improving North American and non-Middle Eastern businesses can outrun geopolitical disruption.</w:t>
      </w:r>
    </w:p>
    <w:p>
      <w:pPr>
        <w:pStyle w:val="BodyText"/>
      </w:pPr>
      <w:r>
        <w:t xml:space="preserve">The most important datapoints will be:</w:t>
      </w:r>
    </w:p>
    <w:p>
      <w:pPr>
        <w:pStyle w:val="Compact"/>
        <w:numPr>
          <w:ilvl w:val="0"/>
          <w:numId w:val="1019"/>
        </w:numPr>
      </w:pPr>
      <w:r>
        <w:rPr>
          <w:b/>
          <w:bCs/>
        </w:rPr>
        <w:t xml:space="preserve">Middle East impact and 3Q assumptions</w:t>
      </w:r>
    </w:p>
    <w:p>
      <w:pPr>
        <w:pStyle w:val="Compact"/>
        <w:numPr>
          <w:ilvl w:val="0"/>
          <w:numId w:val="1019"/>
        </w:numPr>
      </w:pPr>
      <w:r>
        <w:rPr>
          <w:b/>
          <w:bCs/>
        </w:rPr>
        <w:t xml:space="preserve">C&amp;P margin and U.S. frac pricing</w:t>
      </w:r>
    </w:p>
    <w:p>
      <w:pPr>
        <w:pStyle w:val="Compact"/>
        <w:numPr>
          <w:ilvl w:val="0"/>
          <w:numId w:val="1019"/>
        </w:numPr>
      </w:pPr>
      <w:r>
        <w:rPr>
          <w:b/>
          <w:bCs/>
        </w:rPr>
        <w:t xml:space="preserve">International growth excluding the Middle East</w:t>
      </w:r>
    </w:p>
    <w:p>
      <w:pPr>
        <w:pStyle w:val="Compact"/>
        <w:numPr>
          <w:ilvl w:val="0"/>
          <w:numId w:val="1019"/>
        </w:numPr>
      </w:pPr>
      <w:r>
        <w:rPr>
          <w:b/>
          <w:bCs/>
        </w:rPr>
        <w:t xml:space="preserve">Argentina and offshore mobilization economics</w:t>
      </w:r>
    </w:p>
    <w:p>
      <w:pPr>
        <w:pStyle w:val="Compact"/>
        <w:numPr>
          <w:ilvl w:val="0"/>
          <w:numId w:val="1019"/>
        </w:numPr>
      </w:pPr>
      <w:r>
        <w:rPr>
          <w:b/>
          <w:bCs/>
        </w:rPr>
        <w:t xml:space="preserve">Free cash flow and buyback acceleration</w:t>
      </w:r>
    </w:p>
    <w:p>
      <w:pPr>
        <w:pStyle w:val="FirstParagraph"/>
      </w:pPr>
      <w:r>
        <w:t xml:space="preserve">A guidance-consistent quarter accompanied by firm North American pricing, resilient international growth and manageable third-quarter Middle East exposure would likely be viewed favorably. A headline beat paired with worsening regional disruption or weak C&amp;P margins would be substantially less convincing.</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2026-07-21T00:34:55Z</dcterms:created>
  <dcterms:modified xsi:type="dcterms:W3CDTF">2026-07-21T00:34:55Z</dcterms:modified>
</cp:coreProperties>
</file>

<file path=docProps/custom.xml><?xml version="1.0" encoding="utf-8"?>
<Properties xmlns="http://schemas.openxmlformats.org/officeDocument/2006/custom-properties" xmlns:vt="http://schemas.openxmlformats.org/officeDocument/2006/docPropsVTypes"/>
</file>