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al-earnings-predictions--2026-07-21"/>
    <w:p>
      <w:pPr>
        <w:pStyle w:val="Heading1"/>
      </w:pPr>
      <w:r>
        <w:t xml:space="preserve">HAL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~$0.53 vs. cons $0.54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~$5.48B vs. cons $5.50B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Completion &amp; Production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~15.4% vs. cons 15.7%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Middle East disruption EPS impact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~(</w:t>
            </w:r>
            <m:oMath>
              <m:r>
                <m:t>0.08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(</m:t>
              </m:r>
            </m:oMath>
            <w:r>
              <w:t xml:space="preserve">0.04)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international revenue growth excluding Middle East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vs. cons 7.0%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~$1.10B vs. cons $1.10B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~</w:t>
            </w:r>
            <w:r>
              <w:t xml:space="preserve">$0.01 EPS miss and C&amp;P-margin shortfall are likely to be amplified by guide ~($</w:t>
            </w:r>
            <w:r>
              <w:t xml:space="preserve">0.08) versus cons (</w:t>
            </w:r>
            <m:oMath>
              <m:r>
                <m:t>0.04</m:t>
              </m:r>
              <m:r>
                <m:rPr>
                  <m:sty m:val="p"/>
                </m:rPr>
                <m:t>)</m:t>
              </m:r>
              <m:r>
                <m:t>o</m:t>
              </m:r>
              <m:r>
                <m:t>f</m:t>
              </m:r>
              <m:r>
                <m:t>3</m:t>
              </m:r>
              <m:r>
                <m:t>Q</m:t>
              </m:r>
              <m:r>
                <m:t>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d</m:t>
              </m:r>
              <m:r>
                <m:t>l</m:t>
              </m:r>
              <m:r>
                <m:t>e</m:t>
              </m:r>
              <m:r>
                <m:t>E</m:t>
              </m:r>
              <m:r>
                <m:t>a</m:t>
              </m:r>
              <m:r>
                <m:t>s</m:t>
              </m:r>
              <m:r>
                <m:t>t</m:t>
              </m:r>
              <m:r>
                <m:t>d</m:t>
              </m:r>
              <m:r>
                <m:t>i</m:t>
              </m:r>
              <m:r>
                <m:t>s</m:t>
              </m:r>
              <m:r>
                <m:t>r</m:t>
              </m:r>
              <m:r>
                <m:t>u</m:t>
              </m:r>
              <m:r>
                <m:t>p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;</m:t>
              </m:r>
              <m:r>
                <m:t>t</m:t>
              </m:r>
              <m:r>
                <m:t>h</m:t>
              </m:r>
              <m:r>
                <m:t>a</m:t>
              </m:r>
              <m:r>
                <m:t>t</m:t>
              </m:r>
              <m:r>
                <m:t> </m:t>
              </m:r>
            </m:oMath>
            <w:r>
              <w:t xml:space="preserve">0.04 per-share incremental out-period headwind should drive FY26/FY27 estimate cuts even if FY26 ex-Middle East growth remains ~7.0% versus cons 7.0%.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2026-07-21T00:35:05Z</dcterms:created>
  <dcterms:modified xsi:type="dcterms:W3CDTF">2026-07-21T00:35:05Z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