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9bc18b70224c59e210363ac94960919c28648bf"/>
    <w:p>
      <w:pPr>
        <w:pStyle w:val="Heading1"/>
      </w:pPr>
      <w:r>
        <w:t xml:space="preserve">Halliburton (NYSE: HAL) — 2Q26 Earnings Preview</w:t>
      </w:r>
    </w:p>
    <w:p>
      <w:pPr>
        <w:pStyle w:val="BlockText"/>
      </w:pPr>
      <w:r>
        <w:rPr>
          <w:b/>
          <w:bCs/>
        </w:rPr>
        <w:t xml:space="preserve">Timing note:</w:t>
      </w:r>
      <w:r>
        <w:t xml:space="preserve"> </w:t>
      </w:r>
      <w:r>
        <w:t xml:space="preserve">The event date in the prompt is</w:t>
      </w:r>
      <w:r>
        <w:t xml:space="preserve"> </w:t>
      </w:r>
      <w:r>
        <w:rPr>
          <w:b/>
          <w:bCs/>
        </w:rPr>
        <w:t xml:space="preserve">Tuesday, July 21, 2026</w:t>
      </w:r>
      <w:r>
        <w:t xml:space="preserve">—which is</w:t>
      </w:r>
      <w:r>
        <w:t xml:space="preserve"> </w:t>
      </w:r>
      <w:r>
        <w:rPr>
          <w:b/>
          <w:bCs/>
        </w:rPr>
        <w:t xml:space="preserve">today</w:t>
      </w:r>
      <w:r>
        <w:t xml:space="preserve">, not tomorrow. Market-calendar reporting indicates Halliburton is expected to report</w:t>
      </w:r>
      <w:r>
        <w:t xml:space="preserve"> </w:t>
      </w:r>
      <w:r>
        <w:rPr>
          <w:b/>
          <w:bCs/>
        </w:rPr>
        <w:t xml:space="preserve">before the U.S. market open</w:t>
      </w:r>
      <w:r>
        <w:t xml:space="preserve"> </w:t>
      </w:r>
      <w:r>
        <w:t xml:space="preserve">and host its 2Q26 earnings call today.</w:t>
      </w:r>
    </w:p>
    <w:bookmarkStart w:id="9" w:name="investment-framing"/>
    <w:p>
      <w:pPr>
        <w:pStyle w:val="Heading2"/>
      </w:pPr>
      <w:r>
        <w:t xml:space="preserve">Investment framing</w:t>
      </w:r>
    </w:p>
    <w:p>
      <w:pPr>
        <w:pStyle w:val="FirstParagraph"/>
      </w:pPr>
      <w:r>
        <w:t xml:space="preserve">Halliburton enters 2Q with a relatively straightforward near-term setup but unusually wide scenario dispersion. The core debate is not whether the company can produce sequential growth from its</w:t>
      </w:r>
      <w:r>
        <w:t xml:space="preserve"> </w:t>
      </w:r>
      <w:r>
        <w:rPr>
          <w:b/>
          <w:bCs/>
        </w:rPr>
        <w:t xml:space="preserve">Completion &amp; Production (C&amp;P)</w:t>
      </w:r>
      <w:r>
        <w:t xml:space="preserve"> </w:t>
      </w:r>
      <w:r>
        <w:t xml:space="preserve">segment; management explicitly guided to that. Rather, investors will focus on:</w:t>
      </w:r>
    </w:p>
    <w:p>
      <w:pPr>
        <w:pStyle w:val="Compact"/>
        <w:numPr>
          <w:ilvl w:val="0"/>
          <w:numId w:val="1001"/>
        </w:numPr>
      </w:pPr>
      <w:r>
        <w:rPr>
          <w:b/>
          <w:bCs/>
        </w:rPr>
        <w:t xml:space="preserve">How much Middle East disruption actually hit 2Q results—and whether the recovery is beginning.</w:t>
      </w:r>
    </w:p>
    <w:p>
      <w:pPr>
        <w:pStyle w:val="Compact"/>
        <w:numPr>
          <w:ilvl w:val="0"/>
          <w:numId w:val="1001"/>
        </w:numPr>
      </w:pPr>
      <w:r>
        <w:rPr>
          <w:b/>
          <w:bCs/>
        </w:rPr>
        <w:t xml:space="preserve">Whether U.S. land frac-market tightening is turning into tangible pricing and utilization gains.</w:t>
      </w:r>
    </w:p>
    <w:p>
      <w:pPr>
        <w:pStyle w:val="Compact"/>
        <w:numPr>
          <w:ilvl w:val="0"/>
          <w:numId w:val="1001"/>
        </w:numPr>
      </w:pPr>
      <w:r>
        <w:rPr>
          <w:b/>
          <w:bCs/>
        </w:rPr>
        <w:t xml:space="preserve">Whether strong growth outside the Middle East—particularly Latin America and offshore—can offset regional disruption and support second-half earnings momentum.</w:t>
      </w:r>
    </w:p>
    <w:p>
      <w:pPr>
        <w:pStyle w:val="FirstParagraph"/>
      </w:pPr>
      <w:r>
        <w:t xml:space="preserve">The Street expects roughly</w:t>
      </w:r>
      <w:r>
        <w:t xml:space="preserve"> </w:t>
      </w:r>
      <m:oMath>
        <m:r>
          <m:t>5.5</m:t>
        </m:r>
        <m:r>
          <m:t>b</m:t>
        </m:r>
        <m:r>
          <m:t>i</m:t>
        </m:r>
        <m:r>
          <m:t>l</m:t>
        </m:r>
        <m:r>
          <m:t>l</m:t>
        </m:r>
        <m:r>
          <m:t>i</m:t>
        </m:r>
        <m:r>
          <m:t>o</m:t>
        </m:r>
        <m:r>
          <m:t>n</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0.54 in EPS</w:t>
      </w:r>
      <w:r>
        <w:t xml:space="preserve">. That EPS figure is just below 1Q’s reported $0.55, but 1Q benefited from a roughly $32 million tax item; on a more normalized basis, the implied setup is for modest underlying sequential improvement despite the elevated Middle East headwind.</w:t>
      </w:r>
    </w:p>
    <w:bookmarkEnd w:id="9"/>
    <w:bookmarkStart w:id="10" w:name="X035cd641114b093298ff6ea6518e38c65cc365e"/>
    <w:p>
      <w:pPr>
        <w:pStyle w:val="Heading2"/>
      </w:pPr>
      <w:r>
        <w:t xml:space="preserve">What Halliburton told investors last quarter</w:t>
      </w:r>
    </w:p>
    <w:p>
      <w:pPr>
        <w:pStyle w:val="FirstParagraph"/>
      </w:pPr>
      <w:r>
        <w:t xml:space="preserve">In 1Q26, HAL reported: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1Q26 Result</w:t>
            </w:r>
          </w:p>
        </w:tc>
      </w:tr>
      <w:tr>
        <w:tc>
          <w:tcPr/>
          <w:p>
            <w:pPr>
              <w:pStyle w:val="Compact"/>
            </w:pPr>
            <w:r>
              <w:t xml:space="preserve">Revenue</w:t>
            </w:r>
          </w:p>
        </w:tc>
        <w:tc>
          <w:tcPr/>
          <w:p>
            <w:pPr>
              <w:pStyle w:val="Compact"/>
              <w:jc w:val="right"/>
            </w:pPr>
            <w:r>
              <w:rPr>
                <w:b/>
                <w:bCs/>
              </w:rPr>
              <w:t xml:space="preserve">$5.40B</w:t>
            </w:r>
          </w:p>
        </w:tc>
      </w:tr>
      <w:tr>
        <w:tc>
          <w:tcPr/>
          <w:p>
            <w:pPr>
              <w:pStyle w:val="Compact"/>
            </w:pPr>
            <w:r>
              <w:t xml:space="preserve">Diluted EPS</w:t>
            </w:r>
          </w:p>
        </w:tc>
        <w:tc>
          <w:tcPr/>
          <w:p>
            <w:pPr>
              <w:pStyle w:val="Compact"/>
              <w:jc w:val="right"/>
            </w:pPr>
            <w:r>
              <w:rPr>
                <w:b/>
                <w:bCs/>
              </w:rPr>
              <w:t xml:space="preserve">$0.55</w:t>
            </w:r>
          </w:p>
        </w:tc>
      </w:tr>
      <w:tr>
        <w:tc>
          <w:tcPr/>
          <w:p>
            <w:pPr>
              <w:pStyle w:val="Compact"/>
            </w:pPr>
            <w:r>
              <w:t xml:space="preserve">Operating margin</w:t>
            </w:r>
          </w:p>
        </w:tc>
        <w:tc>
          <w:tcPr/>
          <w:p>
            <w:pPr>
              <w:pStyle w:val="Compact"/>
              <w:jc w:val="right"/>
            </w:pPr>
            <w:r>
              <w:rPr>
                <w:b/>
                <w:bCs/>
              </w:rPr>
              <w:t xml:space="preserve">13.0%</w:t>
            </w:r>
          </w:p>
        </w:tc>
      </w:tr>
      <w:tr>
        <w:tc>
          <w:tcPr/>
          <w:p>
            <w:pPr>
              <w:pStyle w:val="Compact"/>
            </w:pPr>
            <w:r>
              <w:t xml:space="preserve">Cash flow from operations</w:t>
            </w:r>
          </w:p>
        </w:tc>
        <w:tc>
          <w:tcPr/>
          <w:p>
            <w:pPr>
              <w:pStyle w:val="Compact"/>
              <w:jc w:val="right"/>
            </w:pPr>
            <w:r>
              <w:rPr>
                <w:b/>
                <w:bCs/>
              </w:rPr>
              <w:t xml:space="preserve">$273M</w:t>
            </w:r>
          </w:p>
        </w:tc>
      </w:tr>
      <w:tr>
        <w:tc>
          <w:tcPr/>
          <w:p>
            <w:pPr>
              <w:pStyle w:val="Compact"/>
            </w:pPr>
            <w:r>
              <w:t xml:space="preserve">Free cash flow</w:t>
            </w:r>
          </w:p>
        </w:tc>
        <w:tc>
          <w:tcPr/>
          <w:p>
            <w:pPr>
              <w:pStyle w:val="Compact"/>
              <w:jc w:val="right"/>
            </w:pPr>
            <w:r>
              <w:rPr>
                <w:b/>
                <w:bCs/>
              </w:rPr>
              <w:t xml:space="preserve">$123M</w:t>
            </w:r>
          </w:p>
        </w:tc>
      </w:tr>
      <w:tr>
        <w:tc>
          <w:tcPr/>
          <w:p>
            <w:pPr>
              <w:pStyle w:val="Compact"/>
            </w:pPr>
            <w:r>
              <w:t xml:space="preserve">Share repurchases</w:t>
            </w:r>
          </w:p>
        </w:tc>
        <w:tc>
          <w:tcPr/>
          <w:p>
            <w:pPr>
              <w:pStyle w:val="Compact"/>
              <w:jc w:val="right"/>
            </w:pPr>
            <w:r>
              <w:rPr>
                <w:b/>
                <w:bCs/>
              </w:rPr>
              <w:t xml:space="preserve">$100M</w:t>
            </w:r>
          </w:p>
        </w:tc>
      </w:tr>
    </w:tbl>
    <w:p>
      <w:pPr>
        <w:pStyle w:val="BodyText"/>
      </w:pPr>
      <w:r>
        <w:t xml:space="preserve">The headline numbers masked a meaningful regional divergence:</w:t>
      </w:r>
    </w:p>
    <w:p>
      <w:pPr>
        <w:pStyle w:val="Compact"/>
        <w:numPr>
          <w:ilvl w:val="0"/>
          <w:numId w:val="1002"/>
        </w:numPr>
      </w:pPr>
      <w:r>
        <w:rPr>
          <w:b/>
          <w:bCs/>
        </w:rPr>
        <w:t xml:space="preserve">North America revenue:</w:t>
      </w:r>
      <w:r>
        <w:t xml:space="preserve"> </w:t>
      </w:r>
      <w:r>
        <w:t xml:space="preserve">$2.14B, down 4% year over year.</w:t>
      </w:r>
    </w:p>
    <w:p>
      <w:pPr>
        <w:pStyle w:val="Compact"/>
        <w:numPr>
          <w:ilvl w:val="0"/>
          <w:numId w:val="1002"/>
        </w:numPr>
      </w:pPr>
      <w:r>
        <w:rPr>
          <w:b/>
          <w:bCs/>
        </w:rPr>
        <w:t xml:space="preserve">International revenue:</w:t>
      </w:r>
      <w:r>
        <w:t xml:space="preserve"> </w:t>
      </w:r>
      <w:r>
        <w:t xml:space="preserve">$3.27B, up 3% year over year.</w:t>
      </w:r>
    </w:p>
    <w:p>
      <w:pPr>
        <w:pStyle w:val="Compact"/>
        <w:numPr>
          <w:ilvl w:val="0"/>
          <w:numId w:val="1002"/>
        </w:numPr>
      </w:pPr>
      <w:r>
        <w:rPr>
          <w:b/>
          <w:bCs/>
        </w:rPr>
        <w:t xml:space="preserve">Latin America:</w:t>
      </w:r>
      <w:r>
        <w:t xml:space="preserve"> </w:t>
      </w:r>
      <w:r>
        <w:t xml:space="preserve">up 22% year over year.</w:t>
      </w:r>
    </w:p>
    <w:p>
      <w:pPr>
        <w:pStyle w:val="Compact"/>
        <w:numPr>
          <w:ilvl w:val="0"/>
          <w:numId w:val="1002"/>
        </w:numPr>
      </w:pPr>
      <w:r>
        <w:rPr>
          <w:b/>
          <w:bCs/>
        </w:rPr>
        <w:t xml:space="preserve">Europe/Africa:</w:t>
      </w:r>
      <w:r>
        <w:t xml:space="preserve"> </w:t>
      </w:r>
      <w:r>
        <w:t xml:space="preserve">up 11% year over year.</w:t>
      </w:r>
    </w:p>
    <w:p>
      <w:pPr>
        <w:pStyle w:val="Compact"/>
        <w:numPr>
          <w:ilvl w:val="0"/>
          <w:numId w:val="1002"/>
        </w:numPr>
      </w:pPr>
      <w:r>
        <w:rPr>
          <w:b/>
          <w:bCs/>
        </w:rPr>
        <w:t xml:space="preserve">Middle East/Asia:</w:t>
      </w:r>
      <w:r>
        <w:t xml:space="preserve"> </w:t>
      </w:r>
      <w:r>
        <w:t xml:space="preserve">down 13% year over year, principally due to conflict-related activity interruptions.</w:t>
      </w:r>
    </w:p>
    <w:p>
      <w:pPr>
        <w:pStyle w:val="FirstParagraph"/>
      </w:pPr>
      <w:r>
        <w:t xml:space="preserve">Management estimated the Middle East disruption reduced 1Q EPS by</w:t>
      </w:r>
      <w:r>
        <w:t xml:space="preserve"> </w:t>
      </w:r>
      <m:oMath>
        <m:r>
          <m:t>0.02</m:t>
        </m:r>
        <m:r>
          <m:rPr>
            <m:sty m:val="p"/>
          </m:rPr>
          <m:t>–</m:t>
        </m:r>
      </m:oMath>
      <w:r>
        <w:rPr>
          <w:b/>
          <w:bCs/>
        </w:rPr>
        <w:t xml:space="preserve">0.03</w:t>
      </w:r>
      <w:r>
        <w:t xml:space="preserve">. For 2Q, the company guided to a much larger</w:t>
      </w:r>
      <w:r>
        <w:t xml:space="preserve"> </w:t>
      </w:r>
      <m:oMath>
        <m:r>
          <m:t>0.07</m:t>
        </m:r>
        <m:r>
          <m:rPr>
            <m:sty m:val="p"/>
          </m:rPr>
          <m:t>–</m:t>
        </m:r>
      </m:oMath>
      <w:r>
        <w:rPr>
          <w:b/>
          <w:bCs/>
        </w:rPr>
        <w:t xml:space="preserve">0.09 EPS impact</w:t>
      </w:r>
      <w:r>
        <w:t xml:space="preserve">, incorporating lost activity as well as higher logistics, fuel, and supply-chain costs. Importantly, management said an additional</w:t>
      </w:r>
      <w:r>
        <w:t xml:space="preserve"> </w:t>
      </w:r>
      <m:oMath>
        <m:r>
          <m:t>0.03</m:t>
        </m:r>
        <m:r>
          <m:rPr>
            <m:sty m:val="p"/>
          </m:rPr>
          <m:t>–</m:t>
        </m:r>
      </m:oMath>
      <w:r>
        <w:rPr>
          <w:b/>
          <w:bCs/>
        </w:rPr>
        <w:t xml:space="preserve">0.05</w:t>
      </w:r>
      <w:r>
        <w:t xml:space="preserve"> </w:t>
      </w:r>
      <w:r>
        <w:t xml:space="preserve">downside could arise if assumed offshore restarts were delayed.</w:t>
      </w:r>
    </w:p>
    <w:bookmarkEnd w:id="10"/>
    <w:bookmarkStart w:id="11" w:name="the-numbers-translating-2q-guidance"/>
    <w:p>
      <w:pPr>
        <w:pStyle w:val="Heading2"/>
      </w:pPr>
      <w:r>
        <w:t xml:space="preserve">The numbers: translating 2Q guidance</w:t>
      </w:r>
    </w:p>
    <w:p>
      <w:pPr>
        <w:pStyle w:val="FirstParagraph"/>
      </w:pPr>
      <w:r>
        <w:t xml:space="preserve">Halliburton did not issue a consolidated revenue or EPS range, but its segment outlook implies the following:</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2Q26 guidance vs. 1Q26</w:t>
            </w:r>
          </w:p>
        </w:tc>
        <w:tc>
          <w:tcPr/>
          <w:p>
            <w:pPr>
              <w:pStyle w:val="Compact"/>
              <w:jc w:val="right"/>
            </w:pPr>
            <w:r>
              <w:t xml:space="preserve">Implied 2Q range</w:t>
            </w:r>
          </w:p>
        </w:tc>
      </w:tr>
      <w:tr>
        <w:tc>
          <w:tcPr/>
          <w:p>
            <w:pPr>
              <w:pStyle w:val="Compact"/>
            </w:pPr>
            <w:r>
              <w:t xml:space="preserve">C&amp;P revenue:</w:t>
            </w:r>
            <w:r>
              <w:t xml:space="preserve"> </w:t>
            </w:r>
            <w:r>
              <w:rPr>
                <w:b/>
                <w:bCs/>
              </w:rPr>
              <w:t xml:space="preserve">+4% to +6% QoQ</w:t>
            </w:r>
          </w:p>
        </w:tc>
        <w:tc>
          <w:tcPr/>
          <w:p>
            <w:pPr>
              <w:pStyle w:val="Compact"/>
              <w:jc w:val="right"/>
            </w:pPr>
            <m:oMath>
              <m:r>
                <m:t>3.14</m:t>
              </m:r>
              <m:r>
                <m:t>B</m:t>
              </m:r>
              <m:r>
                <m:rPr>
                  <m:sty m:val="p"/>
                </m:rPr>
                <m:t>–</m:t>
              </m:r>
            </m:oMath>
            <w:r>
              <w:rPr>
                <w:b/>
                <w:bCs/>
              </w:rPr>
              <w:t xml:space="preserve">3.20B</w:t>
            </w:r>
          </w:p>
        </w:tc>
      </w:tr>
      <w:tr>
        <w:tc>
          <w:tcPr/>
          <w:p>
            <w:pPr>
              <w:pStyle w:val="Compact"/>
            </w:pPr>
            <w:r>
              <w:t xml:space="preserve">C&amp;P margin:</w:t>
            </w:r>
            <w:r>
              <w:t xml:space="preserve"> </w:t>
            </w:r>
            <w:r>
              <w:rPr>
                <w:b/>
                <w:bCs/>
              </w:rPr>
              <w:t xml:space="preserve">+50–100 bps QoQ</w:t>
            </w:r>
          </w:p>
        </w:tc>
        <w:tc>
          <w:tcPr/>
          <w:p>
            <w:pPr>
              <w:pStyle w:val="Compact"/>
              <w:jc w:val="right"/>
            </w:pPr>
            <w:r>
              <w:rPr>
                <w:b/>
                <w:bCs/>
              </w:rPr>
              <w:t xml:space="preserve">15.5%–16.0%</w:t>
            </w:r>
          </w:p>
        </w:tc>
      </w:tr>
      <w:tr>
        <w:tc>
          <w:tcPr/>
          <w:p>
            <w:pPr>
              <w:pStyle w:val="Compact"/>
            </w:pPr>
            <w:r>
              <w:t xml:space="preserve">D&amp;E revenue:</w:t>
            </w:r>
            <w:r>
              <w:t xml:space="preserve"> </w:t>
            </w:r>
            <w:r>
              <w:rPr>
                <w:b/>
                <w:bCs/>
              </w:rPr>
              <w:t xml:space="preserve">flat to -2% QoQ</w:t>
            </w:r>
          </w:p>
        </w:tc>
        <w:tc>
          <w:tcPr/>
          <w:p>
            <w:pPr>
              <w:pStyle w:val="Compact"/>
              <w:jc w:val="right"/>
            </w:pPr>
            <m:oMath>
              <m:r>
                <m:t>2.34</m:t>
              </m:r>
              <m:r>
                <m:t>B</m:t>
              </m:r>
              <m:r>
                <m:rPr>
                  <m:sty m:val="p"/>
                </m:rPr>
                <m:t>–</m:t>
              </m:r>
            </m:oMath>
            <w:r>
              <w:rPr>
                <w:b/>
                <w:bCs/>
              </w:rPr>
              <w:t xml:space="preserve">2.39B</w:t>
            </w:r>
          </w:p>
        </w:tc>
      </w:tr>
      <w:tr>
        <w:tc>
          <w:tcPr/>
          <w:p>
            <w:pPr>
              <w:pStyle w:val="Compact"/>
            </w:pPr>
            <w:r>
              <w:t xml:space="preserve">D&amp;E margin:</w:t>
            </w:r>
            <w:r>
              <w:t xml:space="preserve"> </w:t>
            </w:r>
            <w:r>
              <w:rPr>
                <w:b/>
                <w:bCs/>
              </w:rPr>
              <w:t xml:space="preserve">-75–125 bps QoQ</w:t>
            </w:r>
          </w:p>
        </w:tc>
        <w:tc>
          <w:tcPr/>
          <w:p>
            <w:pPr>
              <w:pStyle w:val="Compact"/>
              <w:jc w:val="right"/>
            </w:pPr>
            <w:r>
              <w:rPr>
                <w:b/>
                <w:bCs/>
              </w:rPr>
              <w:t xml:space="preserve">13.5%–14.0%</w:t>
            </w:r>
          </w:p>
        </w:tc>
      </w:tr>
      <w:tr>
        <w:tc>
          <w:tcPr/>
          <w:p>
            <w:pPr>
              <w:pStyle w:val="Compact"/>
            </w:pPr>
            <w:r>
              <w:t xml:space="preserve">Implied total revenue</w:t>
            </w:r>
          </w:p>
        </w:tc>
        <w:tc>
          <w:tcPr/>
          <w:p>
            <w:pPr>
              <w:pStyle w:val="Compact"/>
              <w:jc w:val="right"/>
            </w:pPr>
            <w:r>
              <w:rPr>
                <w:b/>
                <w:bCs/>
              </w:rPr>
              <w:t xml:space="preserve">~</w:t>
            </w:r>
            <m:oMath>
              <m:r>
                <m:t>5.48</m:t>
              </m:r>
              <m:r>
                <m:t>B</m:t>
              </m:r>
              <m:r>
                <m:rPr>
                  <m:sty m:val="p"/>
                </m:rPr>
                <m:t>–</m:t>
              </m:r>
            </m:oMath>
            <w:r>
              <w:rPr>
                <w:b/>
                <w:bCs/>
              </w:rPr>
              <w:t xml:space="preserve">5.58B</w:t>
            </w:r>
          </w:p>
        </w:tc>
      </w:tr>
    </w:tbl>
    <w:p>
      <w:pPr>
        <w:pStyle w:val="BodyText"/>
      </w:pPr>
      <w:r>
        <w:t xml:space="preserve">This brackets the approximately</w:t>
      </w:r>
      <w:r>
        <w:t xml:space="preserve"> </w:t>
      </w:r>
      <w:r>
        <w:rPr>
          <w:b/>
          <w:bCs/>
        </w:rPr>
        <w:t xml:space="preserve">$5.5B</w:t>
      </w:r>
      <w:r>
        <w:t xml:space="preserve"> </w:t>
      </w:r>
      <w:r>
        <w:t xml:space="preserve">Street revenue expectation. The key takeaway is that a revenue beat alone may not be enough: investors will want to know whether it came from healthier North American pricing, resilient international execution, an earlier-than-assumed Middle East recovery, or merely timing/mix.</w:t>
      </w:r>
    </w:p>
    <w:bookmarkEnd w:id="11"/>
    <w:bookmarkStart w:id="12" w:name="X2939b9c03176d8cb16b846d0e9abd1bd10866e5"/>
    <w:p>
      <w:pPr>
        <w:pStyle w:val="Heading2"/>
      </w:pPr>
      <w:r>
        <w:t xml:space="preserve">The main issue: Middle East activity and recovery timing</w:t>
      </w:r>
    </w:p>
    <w:p>
      <w:pPr>
        <w:pStyle w:val="FirstParagraph"/>
      </w:pPr>
      <w:r>
        <w:t xml:space="preserve">The Middle East is the central swing factor for the quarter and likely for the stock’s post-earnings reaction.</w:t>
      </w:r>
    </w:p>
    <w:p>
      <w:pPr>
        <w:pStyle w:val="BodyText"/>
      </w:pPr>
      <w:r>
        <w:t xml:space="preserve">In April, management described disruptions across offshore activity in Qatar, UAE, and Saudi Arabia, as well as land activity in Iraq and Kuwait. It emphasized that most operations remained active, but cited cancellations, force-majeure declarations, reduced offshore work, alternate supply routes, and higher logistics costs.</w:t>
      </w:r>
    </w:p>
    <w:p>
      <w:pPr>
        <w:pStyle w:val="BodyText"/>
      </w:pPr>
      <w:r>
        <w:t xml:space="preserve">For 2Q, the market will be looking for answers to three questions:</w:t>
      </w:r>
    </w:p>
    <w:p>
      <w:pPr>
        <w:pStyle w:val="Compact"/>
        <w:numPr>
          <w:ilvl w:val="0"/>
          <w:numId w:val="1003"/>
        </w:numPr>
      </w:pPr>
      <w:r>
        <w:rPr>
          <w:b/>
          <w:bCs/>
        </w:rPr>
        <w:t xml:space="preserve">Did actual disruption align with the embedded</w:t>
      </w:r>
      <w:r>
        <w:rPr>
          <w:b/>
          <w:bCs/>
        </w:rPr>
        <w:t xml:space="preserve"> </w:t>
      </w:r>
      <m:oMath>
        <m:r>
          <m:t>0.07</m:t>
        </m:r>
        <m:r>
          <m:rPr>
            <m:sty m:val="p"/>
          </m:rPr>
          <m:t>–</m:t>
        </m:r>
      </m:oMath>
      <w:r>
        <w:rPr>
          <w:b/>
          <w:bCs/>
        </w:rPr>
        <w:t xml:space="preserve">0.09 EPS assumption?</w:t>
      </w:r>
    </w:p>
    <w:p>
      <w:pPr>
        <w:pStyle w:val="Compact"/>
        <w:numPr>
          <w:ilvl w:val="0"/>
          <w:numId w:val="1003"/>
        </w:numPr>
      </w:pPr>
      <w:r>
        <w:rPr>
          <w:b/>
          <w:bCs/>
        </w:rPr>
        <w:t xml:space="preserve">Have offshore and other deferred programs restarted, and at what pace?</w:t>
      </w:r>
    </w:p>
    <w:p>
      <w:pPr>
        <w:pStyle w:val="Compact"/>
        <w:numPr>
          <w:ilvl w:val="0"/>
          <w:numId w:val="1003"/>
        </w:numPr>
      </w:pPr>
      <w:r>
        <w:rPr>
          <w:b/>
          <w:bCs/>
        </w:rPr>
        <w:t xml:space="preserve">Can Halliburton recover the elevated logistics and materials costs contractually?</w:t>
      </w:r>
    </w:p>
    <w:p>
      <w:pPr>
        <w:pStyle w:val="FirstParagraph"/>
      </w:pPr>
      <w:r>
        <w:t xml:space="preserve">The potential upside is material if activity resumes faster than management assumed. Halliburton believes it is well positioned for eventual restart work, particularly intervention, coiled tubing, and production-restoration activity. The risk is that operational normalization proves more gradual, pushing the earnings recovery further into 3Q or beyond.</w:t>
      </w:r>
    </w:p>
    <w:bookmarkEnd w:id="12"/>
    <w:bookmarkStart w:id="13" w:name="X76f4f55bc07cd351c5f088bbc92c405c2e30bf3"/>
    <w:p>
      <w:pPr>
        <w:pStyle w:val="Heading2"/>
      </w:pPr>
      <w:r>
        <w:t xml:space="preserve">North America: are “early innings” becoming pricing?</w:t>
      </w:r>
    </w:p>
    <w:p>
      <w:pPr>
        <w:pStyle w:val="FirstParagraph"/>
      </w:pPr>
      <w:r>
        <w:t xml:space="preserve">The more constructive part of the HAL narrative is North America. Management said in April that:</w:t>
      </w:r>
    </w:p>
    <w:p>
      <w:pPr>
        <w:pStyle w:val="Compact"/>
        <w:numPr>
          <w:ilvl w:val="0"/>
          <w:numId w:val="1004"/>
        </w:numPr>
      </w:pPr>
      <w:r>
        <w:t xml:space="preserve">Frac-calendar “white space” had largely disappeared.</w:t>
      </w:r>
    </w:p>
    <w:p>
      <w:pPr>
        <w:pStyle w:val="Compact"/>
        <w:numPr>
          <w:ilvl w:val="0"/>
          <w:numId w:val="1004"/>
        </w:numPr>
      </w:pPr>
      <w:r>
        <w:t xml:space="preserve">Completion work was being pulled forward.</w:t>
      </w:r>
    </w:p>
    <w:p>
      <w:pPr>
        <w:pStyle w:val="Compact"/>
        <w:numPr>
          <w:ilvl w:val="0"/>
          <w:numId w:val="1004"/>
        </w:numPr>
      </w:pPr>
      <w:r>
        <w:t xml:space="preserve">Spot-market inquiries had increased.</w:t>
      </w:r>
    </w:p>
    <w:p>
      <w:pPr>
        <w:pStyle w:val="Compact"/>
        <w:numPr>
          <w:ilvl w:val="0"/>
          <w:numId w:val="1004"/>
        </w:numPr>
      </w:pPr>
      <w:r>
        <w:t xml:space="preserve">Premium and dual-fuel frac equipment was becoming tight.</w:t>
      </w:r>
    </w:p>
    <w:p>
      <w:pPr>
        <w:pStyle w:val="Compact"/>
        <w:numPr>
          <w:ilvl w:val="0"/>
          <w:numId w:val="1004"/>
        </w:numPr>
      </w:pPr>
      <w:r>
        <w:t xml:space="preserve">The company was prioritizing returns and pricing on existing fleets over share gains or indiscriminate capacity additions.</w:t>
      </w:r>
    </w:p>
    <w:p>
      <w:pPr>
        <w:pStyle w:val="FirstParagraph"/>
      </w:pPr>
      <w:r>
        <w:t xml:space="preserve">That language created an expectation that HAL could be among the earliest beneficiaries if tighter U.S. completion capacity leads to firmer pricing. The 2Q call needs to validate this with evidence—not just optimism.</w:t>
      </w:r>
    </w:p>
    <w:p>
      <w:pPr>
        <w:pStyle w:val="BodyText"/>
      </w:pPr>
      <w:r>
        <w:rPr>
          <w:b/>
          <w:bCs/>
        </w:rPr>
        <w:t xml:space="preserve">Watch for:</w:t>
      </w:r>
    </w:p>
    <w:p>
      <w:pPr>
        <w:pStyle w:val="Compact"/>
        <w:numPr>
          <w:ilvl w:val="0"/>
          <w:numId w:val="1005"/>
        </w:numPr>
      </w:pPr>
      <w:r>
        <w:t xml:space="preserve">Comments on</w:t>
      </w:r>
      <w:r>
        <w:t xml:space="preserve"> </w:t>
      </w:r>
      <w:r>
        <w:rPr>
          <w:b/>
          <w:bCs/>
        </w:rPr>
        <w:t xml:space="preserve">realized frac pricing</w:t>
      </w:r>
      <w:r>
        <w:t xml:space="preserve">, not merely customer conversations.</w:t>
      </w:r>
    </w:p>
    <w:p>
      <w:pPr>
        <w:pStyle w:val="Compact"/>
        <w:numPr>
          <w:ilvl w:val="0"/>
          <w:numId w:val="1005"/>
        </w:numPr>
      </w:pPr>
      <w:r>
        <w:t xml:space="preserve">Utilization and availability of premium/electric fleets.</w:t>
      </w:r>
    </w:p>
    <w:p>
      <w:pPr>
        <w:pStyle w:val="Compact"/>
        <w:numPr>
          <w:ilvl w:val="0"/>
          <w:numId w:val="1005"/>
        </w:numPr>
      </w:pPr>
      <w:r>
        <w:t xml:space="preserve">Whether demand firmness has extended into the second half of 2026.</w:t>
      </w:r>
    </w:p>
    <w:p>
      <w:pPr>
        <w:pStyle w:val="Compact"/>
        <w:numPr>
          <w:ilvl w:val="0"/>
          <w:numId w:val="1005"/>
        </w:numPr>
      </w:pPr>
      <w:r>
        <w:t xml:space="preserve">Any evidence that larger public E&amp;Ps are increasing activity, rather than only smaller operators filling near-term capacity.</w:t>
      </w:r>
    </w:p>
    <w:p>
      <w:pPr>
        <w:pStyle w:val="Compact"/>
        <w:numPr>
          <w:ilvl w:val="0"/>
          <w:numId w:val="1005"/>
        </w:numPr>
      </w:pPr>
      <w:r>
        <w:t xml:space="preserve">The contribution of the ZEUS electric fracturing platform and ZEUS IQ recovery technology.</w:t>
      </w:r>
    </w:p>
    <w:p>
      <w:pPr>
        <w:pStyle w:val="FirstParagraph"/>
      </w:pPr>
      <w:r>
        <w:t xml:space="preserve">A clear confirmation of price realization or multiquarter fleet commitments would likely be viewed favorably, because the incrementals in North American pressure pumping can be powerful once capacity is genuinely constrained.</w:t>
      </w:r>
    </w:p>
    <w:bookmarkEnd w:id="13"/>
    <w:bookmarkStart w:id="14" w:name="Xc38fb16aff0590203f70f145d911337f8787c35"/>
    <w:p>
      <w:pPr>
        <w:pStyle w:val="Heading2"/>
      </w:pPr>
      <w:r>
        <w:t xml:space="preserve">International growth engines remain the offset</w:t>
      </w:r>
    </w:p>
    <w:p>
      <w:pPr>
        <w:pStyle w:val="FirstParagraph"/>
      </w:pPr>
      <w:r>
        <w:t xml:space="preserve">Outside the Middle East, Halliburton’s international positioning looks strong. Management guided to</w:t>
      </w:r>
      <w:r>
        <w:t xml:space="preserve"> </w:t>
      </w:r>
      <w:r>
        <w:rPr>
          <w:b/>
          <w:bCs/>
        </w:rPr>
        <w:t xml:space="preserve">mid- to high-single-digit international growth for full-year 2026 excluding the Middle East</w:t>
      </w:r>
      <w:r>
        <w:t xml:space="preserve">, led by Latin America and offshore activity.</w:t>
      </w:r>
    </w:p>
    <w:p>
      <w:pPr>
        <w:pStyle w:val="BodyText"/>
      </w:pPr>
      <w:r>
        <w:t xml:space="preserve">Areas to monitor:</w:t>
      </w:r>
    </w:p>
    <w:p>
      <w:pPr>
        <w:pStyle w:val="Compact"/>
        <w:numPr>
          <w:ilvl w:val="0"/>
          <w:numId w:val="1006"/>
        </w:numPr>
      </w:pPr>
      <w:r>
        <w:rPr>
          <w:b/>
          <w:bCs/>
        </w:rPr>
        <w:t xml:space="preserve">Argentina / Vaca Muerta:</w:t>
      </w:r>
      <w:r>
        <w:t xml:space="preserve"> </w:t>
      </w:r>
      <w:r>
        <w:t xml:space="preserve">Halliburton won a multibillion-dollar integrated completions award from YPF, including the first international deployment of ZEUS electric fracturing. Equipment began mobilizing in 2026, with additional deployment expected into year-end and 2027.</w:t>
      </w:r>
    </w:p>
    <w:p>
      <w:pPr>
        <w:pStyle w:val="Compact"/>
        <w:numPr>
          <w:ilvl w:val="0"/>
          <w:numId w:val="1006"/>
        </w:numPr>
      </w:pPr>
      <w:r>
        <w:rPr>
          <w:b/>
          <w:bCs/>
        </w:rPr>
        <w:t xml:space="preserve">Guyana, Suriname, and Brazil:</w:t>
      </w:r>
      <w:r>
        <w:t xml:space="preserve"> </w:t>
      </w:r>
      <w:r>
        <w:t xml:space="preserve">Offshore development remains a strategic growth vector, supported by Halliburton’s drilling automation and collaborative project model.</w:t>
      </w:r>
    </w:p>
    <w:p>
      <w:pPr>
        <w:pStyle w:val="Compact"/>
        <w:numPr>
          <w:ilvl w:val="0"/>
          <w:numId w:val="1006"/>
        </w:numPr>
      </w:pPr>
      <w:r>
        <w:rPr>
          <w:b/>
          <w:bCs/>
        </w:rPr>
        <w:t xml:space="preserve">West Africa and Norway:</w:t>
      </w:r>
      <w:r>
        <w:t xml:space="preserve"> </w:t>
      </w:r>
      <w:r>
        <w:t xml:space="preserve">Management highlighted prospective growth in Angola, Namibia, Nigeria, and Norway.</w:t>
      </w:r>
    </w:p>
    <w:p>
      <w:pPr>
        <w:pStyle w:val="Compact"/>
        <w:numPr>
          <w:ilvl w:val="0"/>
          <w:numId w:val="1006"/>
        </w:numPr>
      </w:pPr>
      <w:r>
        <w:rPr>
          <w:b/>
          <w:bCs/>
        </w:rPr>
        <w:t xml:space="preserve">Automation:</w:t>
      </w:r>
      <w:r>
        <w:t xml:space="preserve"> </w:t>
      </w:r>
      <w:r>
        <w:t xml:space="preserve">The Sekal acquisition expands HAL’s drilling automation capabilities, complementing LOGIX and supporting closed-loop automated geosteering.</w:t>
      </w:r>
    </w:p>
    <w:p>
      <w:pPr>
        <w:pStyle w:val="FirstParagraph"/>
      </w:pPr>
      <w:r>
        <w:t xml:space="preserve">The investor question is whether these opportunities are beginning to create visible revenue and margin contribution now, or remain predominantly a 2027-plus story.</w:t>
      </w:r>
    </w:p>
    <w:bookmarkEnd w:id="14"/>
    <w:bookmarkStart w:id="15" w:name="X29a03e4fd959c1a670c0462966deb790b464aae"/>
    <w:p>
      <w:pPr>
        <w:pStyle w:val="Heading2"/>
      </w:pPr>
      <w:r>
        <w:t xml:space="preserve">Cash flow, capital returns, and capital spending</w:t>
      </w:r>
    </w:p>
    <w:p>
      <w:pPr>
        <w:pStyle w:val="FirstParagraph"/>
      </w:pPr>
      <w:r>
        <w:t xml:space="preserve">Cash conversion was weak in 1Q relative to earnings, with free cash flow of only</w:t>
      </w:r>
      <w:r>
        <w:t xml:space="preserve"> </w:t>
      </w:r>
      <w:r>
        <w:rPr>
          <w:b/>
          <w:bCs/>
        </w:rPr>
        <w:t xml:space="preserve">$123M</w:t>
      </w:r>
      <w:r>
        <w:t xml:space="preserve">, largely due to working-capital usage. That makes 2Q cash flow important.</w:t>
      </w:r>
    </w:p>
    <w:p>
      <w:pPr>
        <w:pStyle w:val="BodyText"/>
      </w:pPr>
      <w:r>
        <w:t xml:space="preserve">Management’s framework remains:</w:t>
      </w:r>
    </w:p>
    <w:p>
      <w:pPr>
        <w:pStyle w:val="Compact"/>
        <w:numPr>
          <w:ilvl w:val="0"/>
          <w:numId w:val="1007"/>
        </w:numPr>
      </w:pPr>
      <w:r>
        <w:t xml:space="preserve">Approximately</w:t>
      </w:r>
      <w:r>
        <w:t xml:space="preserve"> </w:t>
      </w:r>
      <w:r>
        <w:rPr>
          <w:b/>
          <w:bCs/>
        </w:rPr>
        <w:t xml:space="preserve">$1.1B</w:t>
      </w:r>
      <w:r>
        <w:t xml:space="preserve"> </w:t>
      </w:r>
      <w:r>
        <w:t xml:space="preserve">of 2026 capital expenditures.</w:t>
      </w:r>
    </w:p>
    <w:p>
      <w:pPr>
        <w:pStyle w:val="Compact"/>
        <w:numPr>
          <w:ilvl w:val="0"/>
          <w:numId w:val="1007"/>
        </w:numPr>
      </w:pPr>
      <w:r>
        <w:t xml:space="preserve">Return at least</w:t>
      </w:r>
      <w:r>
        <w:t xml:space="preserve"> </w:t>
      </w:r>
      <w:r>
        <w:rPr>
          <w:b/>
          <w:bCs/>
        </w:rPr>
        <w:t xml:space="preserve">50% of annual free cash flow</w:t>
      </w:r>
      <w:r>
        <w:t xml:space="preserve"> </w:t>
      </w:r>
      <w:r>
        <w:t xml:space="preserve">to shareholders through dividends and buybacks.</w:t>
      </w:r>
    </w:p>
    <w:p>
      <w:pPr>
        <w:pStyle w:val="Compact"/>
        <w:numPr>
          <w:ilvl w:val="0"/>
          <w:numId w:val="1007"/>
        </w:numPr>
      </w:pPr>
      <w:r>
        <w:t xml:space="preserve">Higher repurchases in 2Q than 1Q, and higher repurchases in the second half than the first half.</w:t>
      </w:r>
    </w:p>
    <w:p>
      <w:pPr>
        <w:pStyle w:val="FirstParagraph"/>
      </w:pPr>
      <w:r>
        <w:t xml:space="preserve">Investors should watch for improved working-capital conversion, especially receivables and inventory, as well as a step-up in buybacks. HAL had approximately</w:t>
      </w:r>
      <w:r>
        <w:t xml:space="preserve"> </w:t>
      </w:r>
      <w:r>
        <w:rPr>
          <w:b/>
          <w:bCs/>
        </w:rPr>
        <w:t xml:space="preserve">$1.9B</w:t>
      </w:r>
      <w:r>
        <w:t xml:space="preserve"> </w:t>
      </w:r>
      <w:r>
        <w:t xml:space="preserve">remaining under its repurchase authorization as of March 31.</w:t>
      </w:r>
    </w:p>
    <w:bookmarkEnd w:id="15"/>
    <w:bookmarkStart w:id="16" w:name="stock-setup"/>
    <w:p>
      <w:pPr>
        <w:pStyle w:val="Heading2"/>
      </w:pPr>
      <w:r>
        <w:t xml:space="preserve">Stock setup</w:t>
      </w:r>
    </w:p>
    <w:p>
      <w:pPr>
        <w:pStyle w:val="FirstParagraph"/>
      </w:pPr>
      <w:r>
        <w:t xml:space="preserve">HAL closed at</w:t>
      </w:r>
      <w:r>
        <w:t xml:space="preserve"> </w:t>
      </w:r>
      <w:r>
        <w:rPr>
          <w:b/>
          <w:bCs/>
        </w:rPr>
        <w:t xml:space="preserve">$35.12 on July 20</w:t>
      </w:r>
      <w:r>
        <w:t xml:space="preserve">, down about</w:t>
      </w:r>
      <w:r>
        <w:t xml:space="preserve"> </w:t>
      </w:r>
      <w:r>
        <w:rPr>
          <w:b/>
          <w:bCs/>
        </w:rPr>
        <w:t xml:space="preserve">10.8% from June 1</w:t>
      </w:r>
      <w:r>
        <w:t xml:space="preserve">. The shares have recovered from an early-July low near $33, but remain below early-June levels. Peer performance has also been weak: from June 1 through July 20, SLB fell roughly 15% and Baker Hughes about 12%.</w:t>
      </w:r>
    </w:p>
    <w:p>
      <w:pPr>
        <w:pStyle w:val="BodyText"/>
      </w:pPr>
      <w:r>
        <w:t xml:space="preserve">That backdrop suggests expectations are not euphoric. However, the stock will likely trade more on the forward outlook than on a small quarterly EPS beat or miss. A result that confirms Middle East damage is contained, North America is tightening, and international growth remains intact could be enough to shift the narrative positively.</w:t>
      </w:r>
    </w:p>
    <w:bookmarkEnd w:id="16"/>
    <w:bookmarkStart w:id="17" w:name="what-would-make-the-quarter-bullish"/>
    <w:p>
      <w:pPr>
        <w:pStyle w:val="Heading2"/>
      </w:pPr>
      <w:r>
        <w:t xml:space="preserve">What would make the quarter bullish?</w:t>
      </w:r>
    </w:p>
    <w:p>
      <w:pPr>
        <w:pStyle w:val="Compact"/>
        <w:numPr>
          <w:ilvl w:val="0"/>
          <w:numId w:val="1008"/>
        </w:numPr>
      </w:pPr>
      <w:r>
        <w:t xml:space="preserve">Results land at or above the upper end of the implied</w:t>
      </w:r>
      <w:r>
        <w:t xml:space="preserve"> </w:t>
      </w:r>
      <m:oMath>
        <m:r>
          <m:t>5.48</m:t>
        </m:r>
        <m:r>
          <m:t>B</m:t>
        </m:r>
        <m:r>
          <m:rPr>
            <m:sty m:val="p"/>
          </m:rPr>
          <m:t>–</m:t>
        </m:r>
      </m:oMath>
      <w:r>
        <w:rPr>
          <w:b/>
          <w:bCs/>
        </w:rPr>
        <w:t xml:space="preserve">5.58B</w:t>
      </w:r>
      <w:r>
        <w:t xml:space="preserve"> </w:t>
      </w:r>
      <w:r>
        <w:t xml:space="preserve">revenue range.</w:t>
      </w:r>
    </w:p>
    <w:p>
      <w:pPr>
        <w:pStyle w:val="Compact"/>
        <w:numPr>
          <w:ilvl w:val="0"/>
          <w:numId w:val="1008"/>
        </w:numPr>
      </w:pPr>
      <w:r>
        <w:t xml:space="preserve">Middle East disruption is no worse than the guided</w:t>
      </w:r>
      <w:r>
        <w:t xml:space="preserve"> </w:t>
      </w:r>
      <m:oMath>
        <m:r>
          <m:t>0.07</m:t>
        </m:r>
        <m:r>
          <m:rPr>
            <m:sty m:val="p"/>
          </m:rPr>
          <m:t>–</m:t>
        </m:r>
      </m:oMath>
      <w:r>
        <w:rPr>
          <w:b/>
          <w:bCs/>
        </w:rPr>
        <w:t xml:space="preserve">0.09 EPS</w:t>
      </w:r>
      <w:r>
        <w:t xml:space="preserve"> </w:t>
      </w:r>
      <w:r>
        <w:t xml:space="preserve">impact.</w:t>
      </w:r>
    </w:p>
    <w:p>
      <w:pPr>
        <w:pStyle w:val="Compact"/>
        <w:numPr>
          <w:ilvl w:val="0"/>
          <w:numId w:val="1008"/>
        </w:numPr>
      </w:pPr>
      <w:r>
        <w:t xml:space="preserve">Management identifies concrete restart activity or improved visibility in the region.</w:t>
      </w:r>
    </w:p>
    <w:p>
      <w:pPr>
        <w:pStyle w:val="Compact"/>
        <w:numPr>
          <w:ilvl w:val="0"/>
          <w:numId w:val="1008"/>
        </w:numPr>
      </w:pPr>
      <w:r>
        <w:t xml:space="preserve">North American pricing, utilization, or contract duration improves meaningfully.</w:t>
      </w:r>
    </w:p>
    <w:p>
      <w:pPr>
        <w:pStyle w:val="Compact"/>
        <w:numPr>
          <w:ilvl w:val="0"/>
          <w:numId w:val="1008"/>
        </w:numPr>
      </w:pPr>
      <w:r>
        <w:t xml:space="preserve">Latin America and offshore growth accelerate enough to reinforce the full-year international outlook.</w:t>
      </w:r>
    </w:p>
    <w:p>
      <w:pPr>
        <w:pStyle w:val="Compact"/>
        <w:numPr>
          <w:ilvl w:val="0"/>
          <w:numId w:val="1008"/>
        </w:numPr>
      </w:pPr>
      <w:r>
        <w:t xml:space="preserve">Free cash flow improves and buybacks step up as promised.</w:t>
      </w:r>
    </w:p>
    <w:bookmarkEnd w:id="17"/>
    <w:bookmarkStart w:id="18" w:name="Xeac88c1f4cbfab8895a80389d4724d62e3c9ae0"/>
    <w:p>
      <w:pPr>
        <w:pStyle w:val="Heading2"/>
      </w:pPr>
      <w:r>
        <w:t xml:space="preserve">What would make the quarter disappointing?</w:t>
      </w:r>
    </w:p>
    <w:p>
      <w:pPr>
        <w:pStyle w:val="Compact"/>
        <w:numPr>
          <w:ilvl w:val="0"/>
          <w:numId w:val="1009"/>
        </w:numPr>
      </w:pPr>
      <w:r>
        <w:t xml:space="preserve">Middle East activity or logistics costs exceed the embedded assumptions, particularly if offshore restarts slip.</w:t>
      </w:r>
    </w:p>
    <w:p>
      <w:pPr>
        <w:pStyle w:val="Compact"/>
        <w:numPr>
          <w:ilvl w:val="0"/>
          <w:numId w:val="1009"/>
        </w:numPr>
      </w:pPr>
      <w:r>
        <w:t xml:space="preserve">Management reduces or qualifies its outlook for international growth outside the Middle East.</w:t>
      </w:r>
    </w:p>
    <w:p>
      <w:pPr>
        <w:pStyle w:val="Compact"/>
        <w:numPr>
          <w:ilvl w:val="0"/>
          <w:numId w:val="1009"/>
        </w:numPr>
      </w:pPr>
      <w:r>
        <w:t xml:space="preserve">North American “tightness” remains anecdotal, with no pricing realization or incremental utilization.</w:t>
      </w:r>
    </w:p>
    <w:p>
      <w:pPr>
        <w:pStyle w:val="Compact"/>
        <w:numPr>
          <w:ilvl w:val="0"/>
          <w:numId w:val="1009"/>
        </w:numPr>
      </w:pPr>
      <w:r>
        <w:t xml:space="preserve">C&amp;P margin expansion misses guidance despite stronger revenue.</w:t>
      </w:r>
    </w:p>
    <w:p>
      <w:pPr>
        <w:pStyle w:val="Compact"/>
        <w:numPr>
          <w:ilvl w:val="0"/>
          <w:numId w:val="1009"/>
        </w:numPr>
      </w:pPr>
      <w:r>
        <w:t xml:space="preserve">Working capital again absorbs cash, limiting buybacks and undermining the capital-return case.</w:t>
      </w:r>
    </w:p>
    <w:bookmarkEnd w:id="18"/>
    <w:bookmarkStart w:id="20" w:name="bottom-line"/>
    <w:p>
      <w:pPr>
        <w:pStyle w:val="Heading2"/>
      </w:pPr>
      <w:r>
        <w:t xml:space="preserve">Bottom line</w:t>
      </w:r>
    </w:p>
    <w:p>
      <w:pPr>
        <w:pStyle w:val="FirstParagraph"/>
      </w:pPr>
      <w:r>
        <w:rPr>
          <w:b/>
          <w:bCs/>
        </w:rPr>
        <w:t xml:space="preserve">HAL’s 2Q print is primarily a test of resilience rather than a clean cyclical inflection quarter.</w:t>
      </w:r>
      <w:r>
        <w:t xml:space="preserve"> </w:t>
      </w:r>
      <w:r>
        <w:t xml:space="preserve">The company has a credible path to sequential revenue growth through C&amp;P, Latin America, and offshore markets, while North America appears closer to a constructive pricing environment. But the Middle East remains the dominant near-term variable and makes the magnitude and timing of earnings recovery uncertain.</w:t>
      </w:r>
    </w:p>
    <w:p>
      <w:pPr>
        <w:pStyle w:val="BodyText"/>
      </w:pPr>
      <w:r>
        <w:t xml:space="preserve">For investors, the most important signal will be whether management can move the discussion from</w:t>
      </w:r>
      <w:r>
        <w:t xml:space="preserve"> </w:t>
      </w:r>
      <w:r>
        <w:rPr>
          <w:b/>
          <w:bCs/>
        </w:rPr>
        <w:t xml:space="preserve">“how much disruption?”</w:t>
      </w:r>
      <w:r>
        <w:t xml:space="preserve"> </w:t>
      </w:r>
      <w:r>
        <w:t xml:space="preserve">to</w:t>
      </w:r>
      <w:r>
        <w:t xml:space="preserve"> </w:t>
      </w:r>
      <w:r>
        <w:rPr>
          <w:b/>
          <w:bCs/>
        </w:rPr>
        <w:t xml:space="preserve">“how quickly does recovery—and the associated service opportunity—build?”</w:t>
      </w:r>
      <w:r>
        <w:t xml:space="preserve"> </w:t>
      </w:r>
      <w:r>
        <w:t xml:space="preserve">A contained Middle East impact alongside tangible U.S. frac pricing improvement would provide the strongest setup for a more constructive second-half outlook.</w:t>
      </w:r>
    </w:p>
    <w:p>
      <w:r>
        <w:pict>
          <v:rect style="width:0;height:1.5pt" o:hralign="center" o:hrstd="t" o:hr="t"/>
        </w:pict>
      </w:r>
    </w:p>
    <w:bookmarkStart w:id="19" w:name="research-basis"/>
    <w:p>
      <w:pPr>
        <w:pStyle w:val="Heading3"/>
      </w:pPr>
      <w:r>
        <w:t xml:space="preserve">Research basis</w:t>
      </w:r>
    </w:p>
    <w:p>
      <w:pPr>
        <w:pStyle w:val="Compact"/>
        <w:numPr>
          <w:ilvl w:val="0"/>
          <w:numId w:val="1010"/>
        </w:numPr>
      </w:pPr>
      <w:r>
        <w:t xml:space="preserve">Halliburton 1Q26 earnings release and conference-call transcript, April 21, 2026.</w:t>
      </w:r>
    </w:p>
    <w:p>
      <w:pPr>
        <w:pStyle w:val="Compact"/>
        <w:numPr>
          <w:ilvl w:val="0"/>
          <w:numId w:val="1010"/>
        </w:numPr>
      </w:pPr>
      <w:r>
        <w:t xml:space="preserve">Halliburton 1Q26 Form 10-Q, filed April 24, 2026.</w:t>
      </w:r>
    </w:p>
    <w:p>
      <w:pPr>
        <w:pStyle w:val="Compact"/>
        <w:numPr>
          <w:ilvl w:val="0"/>
          <w:numId w:val="1010"/>
        </w:numPr>
      </w:pPr>
      <w:r>
        <w:t xml:space="preserve">Market news and consensus snapshot through July 20, 2026.</w:t>
      </w:r>
    </w:p>
    <w:p>
      <w:pPr>
        <w:pStyle w:val="Compact"/>
        <w:numPr>
          <w:ilvl w:val="0"/>
          <w:numId w:val="1010"/>
        </w:numPr>
      </w:pPr>
      <w:r>
        <w:t xml:space="preserve">Historical closing-price data for HAL, SLB, and BKR through July 20, 2026.</w:t>
      </w:r>
    </w:p>
    <w:bookmarkEnd w:id="19"/>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2026-07-21T00:35:05Z</dcterms:created>
  <dcterms:modified xsi:type="dcterms:W3CDTF">2026-07-21T00:35:05Z</dcterms:modified>
</cp:coreProperties>
</file>

<file path=docProps/custom.xml><?xml version="1.0" encoding="utf-8"?>
<Properties xmlns="http://schemas.openxmlformats.org/officeDocument/2006/custom-properties" xmlns:vt="http://schemas.openxmlformats.org/officeDocument/2006/docPropsVTypes"/>
</file>