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Halliburton (HAL) — Q2 2026 Earnings Preview</w:t>
      </w:r>
    </w:p>
    <w:p>
      <w:r>
        <w:rPr>
          <w:rFonts w:ascii="Calibri" w:hAnsi="Calibri"/>
          <w:b/>
          <w:color w:val="525866"/>
          <w:sz w:val="22"/>
        </w:rPr>
        <w:t xml:space="preserve">Company: </w:t>
      </w:r>
      <w:r>
        <w:rPr>
          <w:rFonts w:ascii="Calibri" w:hAnsi="Calibri"/>
          <w:color w:val="525866"/>
          <w:sz w:val="22"/>
        </w:rPr>
        <w:t xml:space="preserve">Halliburton Company (HAL)  </w:t>
      </w:r>
      <w:r>
        <w:rPr>
          <w:rFonts w:ascii="Calibri" w:hAnsi="Calibri"/>
          <w:b/>
          <w:color w:val="525866"/>
          <w:sz w:val="22"/>
        </w:rPr>
        <w:t xml:space="preserve">  |  Earnings Date: </w:t>
      </w:r>
      <w:r>
        <w:rPr>
          <w:rFonts w:ascii="Calibri" w:hAnsi="Calibri"/>
          <w:color w:val="525866"/>
          <w:sz w:val="22"/>
        </w:rPr>
        <w:t xml:space="preserve">July 21, 2026  </w:t>
      </w:r>
      <w:r>
        <w:rPr>
          <w:rFonts w:ascii="Calibri" w:hAnsi="Calibri"/>
          <w:b/>
          <w:color w:val="525866"/>
          <w:sz w:val="22"/>
        </w:rPr>
        <w:t xml:space="preserve">  |  Prepared: </w:t>
      </w:r>
      <w:r>
        <w:rPr>
          <w:rFonts w:ascii="Calibri" w:hAnsi="Calibri"/>
          <w:color w:val="525866"/>
          <w:sz w:val="22"/>
        </w:rPr>
        <w:t>July 20, 2026</w:t>
      </w:r>
    </w:p>
    <w:p>
      <w:r>
        <w:rPr>
          <w:rFonts w:ascii="Calibri" w:hAnsi="Calibri"/>
          <w:b/>
          <w:color w:val="525866"/>
          <w:sz w:val="22"/>
        </w:rPr>
        <w:t xml:space="preserve">Sector: </w:t>
      </w:r>
      <w:r>
        <w:rPr>
          <w:rFonts w:ascii="Calibri" w:hAnsi="Calibri"/>
          <w:color w:val="525866"/>
          <w:sz w:val="22"/>
        </w:rPr>
        <w:t xml:space="preserve">Oil &amp; Gas Equipment &amp; Services  </w:t>
      </w:r>
      <w:r>
        <w:rPr>
          <w:rFonts w:ascii="Calibri" w:hAnsi="Calibri"/>
          <w:b/>
          <w:color w:val="525866"/>
          <w:sz w:val="22"/>
        </w:rPr>
        <w:t xml:space="preserve">  |  Reporting Period: </w:t>
      </w:r>
      <w:r>
        <w:rPr>
          <w:rFonts w:ascii="Calibri" w:hAnsi="Calibri"/>
          <w:color w:val="525866"/>
          <w:sz w:val="22"/>
        </w:rPr>
        <w:t>Q2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w:t>
      </w:r>
      <w:r>
        <w:rPr>
          <w:rFonts w:ascii="Calibri" w:hAnsi="Calibri"/>
          <w:b/>
          <w:color w:val="525866"/>
          <w:sz w:val="22"/>
        </w:rPr>
        <w:t>cautiously constructive but skewed to the downside on EPS</w:t>
      </w:r>
      <w:r>
        <w:rPr>
          <w:rFonts w:ascii="Calibri" w:hAnsi="Calibri"/>
          <w:color w:val="525866"/>
          <w:sz w:val="22"/>
        </w:rPr>
        <w:t xml:space="preserve"> — the Middle East headwind is the single biggest swing factor, with management embedding a $0.07–$0.09/share impact in Q2 guidance and flagging an additional $0.03–$0.05 downside if offshore restart is delayed.</w:t>
      </w:r>
    </w:p>
    <w:p>
      <w:r>
        <w:rPr>
          <w:rFonts w:ascii="Calibri" w:hAnsi="Calibri"/>
          <w:color w:val="525866"/>
          <w:sz w:val="22"/>
        </w:rPr>
        <w:t xml:space="preserve">Heading into Q2 2026, the bar for Halliburton is set against a backdrop of a well-telegraphed Middle East disruption that management quantified explicitly on the Q1 call — consensus at $0.54 EPS and $5.51B revenue already embeds the Strait of Hormuz impact, meaning the print is less about whether the headwind exists and more about whether it was worse or better than guided. </w:t>
      </w:r>
      <w:r>
        <w:rPr>
          <w:rFonts w:ascii="Calibri" w:hAnsi="Calibri"/>
          <w:b/>
          <w:color w:val="525866"/>
          <w:sz w:val="22"/>
        </w:rPr>
        <w:t>Outside the Middle East, the setup is actually improving</w:t>
      </w:r>
      <w:r>
        <w:rPr>
          <w:rFonts w:ascii="Calibri" w:hAnsi="Calibri"/>
          <w:color w:val="525866"/>
          <w:sz w:val="22"/>
        </w:rPr>
        <w:t xml:space="preserve">: North America frac calendar white space has been eliminated, Liberty Energy (LBRT) confirmed high-single-digit sequential revenue growth in Q2 with pricing conversations gaining traction, and HAL's own C&amp;P division guided +4–6% sequential revenue with 50–100 bps margin improvement. Estimate revisions have been modestly negative since the Q1 print — the 2026 full-year EPS consensus slipped from ~$2.34 to ~$2.35 (roughly flat) while revenue moved from ~$22.2B to ~$22.3B — suggesting the Street has largely absorbed the Middle East shock without a dramatic reset. </w:t>
      </w:r>
      <w:r>
        <w:rPr>
          <w:rFonts w:ascii="Calibri" w:hAnsi="Calibri"/>
          <w:b/>
          <w:color w:val="525866"/>
          <w:sz w:val="22"/>
        </w:rPr>
        <w:t>The stock has underperformed</w:t>
      </w:r>
      <w:r>
        <w:rPr>
          <w:rFonts w:ascii="Calibri" w:hAnsi="Calibri"/>
          <w:color w:val="525866"/>
          <w:sz w:val="22"/>
        </w:rPr>
        <w:t xml:space="preserve"> since Q1 earnings, falling ~8% vs. the S&amp;P 500 up ~5%, tracking the OIH ETF lower as oil services sentiment deteriorated; at ~$35, HAL trades at a discount to historical averages, limiting downside from multiple compression but also capping upside unless the Middle East narrative inflects. The wildcard is </w:t>
      </w:r>
      <w:r>
        <w:rPr>
          <w:rFonts w:ascii="Calibri" w:hAnsi="Calibri"/>
          <w:b/>
          <w:color w:val="525866"/>
          <w:sz w:val="22"/>
        </w:rPr>
        <w:t>the pace of offshore restart in the Middle East</w:t>
      </w:r>
      <w:r>
        <w:rPr>
          <w:rFonts w:ascii="Calibri" w:hAnsi="Calibri"/>
          <w:color w:val="525866"/>
          <w:sz w:val="22"/>
        </w:rPr>
        <w:t>: if operations resumed faster than the mid-quarter assumption embedded in guidance, EPS could beat by $0.03–$0.05; if restart is further delayed, the stock faces another leg lower.</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low-to-fair bar on revenue but a high bar on EPS</w:t>
      </w:r>
      <w:r>
        <w:rPr>
          <w:rFonts w:ascii="Calibri" w:hAnsi="Calibri"/>
          <w:color w:val="525866"/>
          <w:sz w:val="22"/>
        </w:rPr>
        <w:t xml:space="preserve"> given the embedded Middle East headwind; the bigger swing factor is </w:t>
      </w:r>
      <w:r>
        <w:rPr>
          <w:rFonts w:ascii="Calibri" w:hAnsi="Calibri"/>
          <w:b/>
          <w:color w:val="525866"/>
          <w:sz w:val="22"/>
        </w:rPr>
        <w:t>C&amp;P division margin delivery</w:t>
      </w:r>
      <w:r>
        <w:rPr>
          <w:rFonts w:ascii="Calibri" w:hAnsi="Calibri"/>
          <w:color w:val="525866"/>
          <w:sz w:val="22"/>
        </w:rPr>
        <w:t xml:space="preserve"> — if the guided 50–100 bps sequential improvement materializes, it validates the recovery thesis; if not, the stock re-rates lower.</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$5.402B</w:t>
            </w:r>
          </w:p>
        </w:tc>
        <w:tc>
          <w:tcPr>
            <w:tcW w:type="dxa" w:w="1234"/>
          </w:tcPr>
          <w:p>
            <w:r>
              <w:rPr>
                <w:rFonts w:ascii="Calibri" w:hAnsi="Calibri"/>
                <w:sz w:val="22"/>
              </w:rPr>
              <w:t>$5.510B</w:t>
            </w:r>
          </w:p>
        </w:tc>
        <w:tc>
          <w:tcPr>
            <w:tcW w:type="dxa" w:w="1234"/>
          </w:tcPr>
          <w:p>
            <w:r>
              <w:rPr>
                <w:rFonts w:ascii="Calibri" w:hAnsi="Calibri"/>
                <w:sz w:val="22"/>
              </w:rPr>
              <w:t>$5.514B</w:t>
            </w:r>
          </w:p>
        </w:tc>
        <w:tc>
          <w:tcPr>
            <w:tcW w:type="dxa" w:w="1234"/>
          </w:tcPr>
          <w:p>
            <w:r>
              <w:rPr>
                <w:rFonts w:ascii="Calibri" w:hAnsi="Calibri"/>
                <w:b/>
                <w:color w:val="E5484D"/>
                <w:sz w:val="22"/>
              </w:rPr>
              <w:t>+0.1% YoY</w:t>
            </w:r>
          </w:p>
        </w:tc>
        <w:tc>
          <w:tcPr>
            <w:tcW w:type="dxa" w:w="1234"/>
          </w:tcPr>
          <w:p>
            <w:r>
              <w:rPr>
                <w:rFonts w:ascii="Calibri" w:hAnsi="Calibri"/>
                <w:sz w:val="22"/>
              </w:rPr>
              <w:t>C&amp;P +4–6% seq; D&amp;E flat to −2% seq</w:t>
            </w:r>
          </w:p>
        </w:tc>
        <w:tc>
          <w:tcPr>
            <w:tcW w:type="dxa" w:w="1234"/>
          </w:tcPr>
          <w:p>
            <w:r>
              <w:rPr>
                <w:rFonts w:ascii="Calibri" w:hAnsi="Calibri"/>
                <w:sz w:val="22"/>
              </w:rPr>
              <w:t>~In line</w:t>
            </w:r>
          </w:p>
        </w:tc>
      </w:tr>
      <w:tr>
        <w:tc>
          <w:tcPr>
            <w:tcW w:type="dxa" w:w="1234"/>
          </w:tcPr>
          <w:p>
            <w:r>
              <w:rPr>
                <w:rFonts w:ascii="Calibri" w:hAnsi="Calibri"/>
                <w:sz w:val="22"/>
              </w:rPr>
              <w:t>EPS — Diluted Operating ($/sh)</w:t>
            </w:r>
          </w:p>
        </w:tc>
        <w:tc>
          <w:tcPr>
            <w:tcW w:type="dxa" w:w="1234"/>
          </w:tcPr>
          <w:p>
            <w:r>
              <w:rPr>
                <w:rFonts w:ascii="Calibri" w:hAnsi="Calibri"/>
                <w:sz w:val="22"/>
              </w:rPr>
              <w:t>$0.55</w:t>
            </w:r>
          </w:p>
        </w:tc>
        <w:tc>
          <w:tcPr>
            <w:tcW w:type="dxa" w:w="1234"/>
          </w:tcPr>
          <w:p>
            <w:r>
              <w:rPr>
                <w:rFonts w:ascii="Calibri" w:hAnsi="Calibri"/>
                <w:sz w:val="22"/>
              </w:rPr>
              <w:t>$0.55</w:t>
            </w:r>
          </w:p>
        </w:tc>
        <w:tc>
          <w:tcPr>
            <w:tcW w:type="dxa" w:w="1234"/>
          </w:tcPr>
          <w:p>
            <w:r>
              <w:rPr>
                <w:rFonts w:ascii="Calibri" w:hAnsi="Calibri"/>
                <w:sz w:val="22"/>
              </w:rPr>
              <w:t>$0.54</w:t>
            </w:r>
          </w:p>
        </w:tc>
        <w:tc>
          <w:tcPr>
            <w:tcW w:type="dxa" w:w="1234"/>
          </w:tcPr>
          <w:p>
            <w:r>
              <w:rPr>
                <w:rFonts w:ascii="Calibri" w:hAnsi="Calibri"/>
                <w:b/>
                <w:color w:val="E5484D"/>
                <w:sz w:val="22"/>
              </w:rPr>
              <w:t>−1.8% YoY</w:t>
            </w:r>
          </w:p>
        </w:tc>
        <w:tc>
          <w:tcPr>
            <w:tcW w:type="dxa" w:w="1234"/>
          </w:tcPr>
          <w:p>
            <w:r>
              <w:rPr>
                <w:rFonts w:ascii="Calibri" w:hAnsi="Calibri"/>
                <w:sz w:val="22"/>
              </w:rPr>
              <w:t>Embeds $0.07–$0.09 ME headwind; addl. $0.03–$0.05 risk if restart delayed</w:t>
            </w:r>
          </w:p>
        </w:tc>
        <w:tc>
          <w:tcPr>
            <w:tcW w:type="dxa" w:w="1234"/>
          </w:tcPr>
          <w:p>
            <w:r>
              <w:rPr>
                <w:rFonts w:ascii="Calibri" w:hAnsi="Calibri"/>
                <w:sz w:val="22"/>
              </w:rPr>
              <w:t>~In line / slight cushion</w:t>
            </w:r>
          </w:p>
        </w:tc>
      </w:tr>
      <w:tr>
        <w:tc>
          <w:tcPr>
            <w:tcW w:type="dxa" w:w="1234"/>
          </w:tcPr>
          <w:p>
            <w:r>
              <w:rPr>
                <w:rFonts w:ascii="Calibri" w:hAnsi="Calibri"/>
                <w:sz w:val="22"/>
              </w:rPr>
              <w:t>EBITDA — Operating ($B)</w:t>
            </w:r>
          </w:p>
        </w:tc>
        <w:tc>
          <w:tcPr>
            <w:tcW w:type="dxa" w:w="1234"/>
          </w:tcPr>
          <w:p>
            <w:r>
              <w:rPr>
                <w:rFonts w:ascii="Calibri" w:hAnsi="Calibri"/>
                <w:sz w:val="22"/>
              </w:rPr>
              <w:t>$0.974B</w:t>
            </w:r>
          </w:p>
        </w:tc>
        <w:tc>
          <w:tcPr>
            <w:tcW w:type="dxa" w:w="1234"/>
          </w:tcPr>
          <w:p>
            <w:r>
              <w:rPr>
                <w:rFonts w:ascii="Calibri" w:hAnsi="Calibri"/>
                <w:sz w:val="22"/>
              </w:rPr>
              <w:t>$1.011B</w:t>
            </w:r>
          </w:p>
        </w:tc>
        <w:tc>
          <w:tcPr>
            <w:tcW w:type="dxa" w:w="1234"/>
          </w:tcPr>
          <w:p>
            <w:r>
              <w:rPr>
                <w:rFonts w:ascii="Calibri" w:hAnsi="Calibri"/>
                <w:sz w:val="22"/>
              </w:rPr>
              <w:t>$0.985B</w:t>
            </w:r>
          </w:p>
        </w:tc>
        <w:tc>
          <w:tcPr>
            <w:tcW w:type="dxa" w:w="1234"/>
          </w:tcPr>
          <w:p>
            <w:r>
              <w:rPr>
                <w:rFonts w:ascii="Calibri" w:hAnsi="Calibri"/>
                <w:b/>
                <w:color w:val="E5484D"/>
                <w:sz w:val="22"/>
              </w:rPr>
              <w:t>−2.6% YoY</w:t>
            </w:r>
          </w:p>
        </w:tc>
        <w:tc>
          <w:tcPr>
            <w:tcW w:type="dxa" w:w="1234"/>
          </w:tcPr>
          <w:p>
            <w:r>
              <w:rPr>
                <w:rFonts w:ascii="Calibri" w:hAnsi="Calibri"/>
                <w:sz w:val="22"/>
              </w:rPr>
              <w:t>No explicit EBITDA guide; implied by divisional margin guidance</w:t>
            </w:r>
          </w:p>
        </w:tc>
        <w:tc>
          <w:tcPr>
            <w:tcW w:type="dxa" w:w="1234"/>
          </w:tcPr>
          <w:p>
            <w:r>
              <w:rPr>
                <w:rFonts w:ascii="Calibri" w:hAnsi="Calibri"/>
                <w:sz w:val="22"/>
              </w:rPr>
              <w:t>N/A — no explicit guide</w:t>
            </w:r>
          </w:p>
        </w:tc>
      </w:tr>
      <w:tr>
        <w:tc>
          <w:tcPr>
            <w:tcW w:type="dxa" w:w="1234"/>
          </w:tcPr>
          <w:p>
            <w:r>
              <w:rPr>
                <w:rFonts w:ascii="Calibri" w:hAnsi="Calibri"/>
                <w:sz w:val="22"/>
              </w:rPr>
              <w:t>Revenue — North America ($B)</w:t>
            </w:r>
          </w:p>
        </w:tc>
        <w:tc>
          <w:tcPr>
            <w:tcW w:type="dxa" w:w="1234"/>
          </w:tcPr>
          <w:p>
            <w:r>
              <w:rPr>
                <w:rFonts w:ascii="Calibri" w:hAnsi="Calibri"/>
                <w:sz w:val="22"/>
              </w:rPr>
              <w:t>$2.136B</w:t>
            </w:r>
          </w:p>
        </w:tc>
        <w:tc>
          <w:tcPr>
            <w:tcW w:type="dxa" w:w="1234"/>
          </w:tcPr>
          <w:p>
            <w:r>
              <w:rPr>
                <w:rFonts w:ascii="Calibri" w:hAnsi="Calibri"/>
                <w:sz w:val="22"/>
              </w:rPr>
              <w:t>$2.259B</w:t>
            </w:r>
          </w:p>
        </w:tc>
        <w:tc>
          <w:tcPr>
            <w:tcW w:type="dxa" w:w="1234"/>
          </w:tcPr>
          <w:p>
            <w:r>
              <w:rPr>
                <w:rFonts w:ascii="Calibri" w:hAnsi="Calibri"/>
                <w:sz w:val="22"/>
              </w:rPr>
              <w:t>$2.255B</w:t>
            </w:r>
          </w:p>
        </w:tc>
        <w:tc>
          <w:tcPr>
            <w:tcW w:type="dxa" w:w="1234"/>
          </w:tcPr>
          <w:p>
            <w:r>
              <w:rPr>
                <w:rFonts w:ascii="Calibri" w:hAnsi="Calibri"/>
                <w:b/>
                <w:color w:val="E5484D"/>
                <w:sz w:val="22"/>
              </w:rPr>
              <w:t>−0.2% YoY</w:t>
            </w:r>
          </w:p>
        </w:tc>
        <w:tc>
          <w:tcPr>
            <w:tcW w:type="dxa" w:w="1234"/>
          </w:tcPr>
          <w:p>
            <w:r>
              <w:rPr>
                <w:rFonts w:ascii="Calibri" w:hAnsi="Calibri"/>
                <w:sz w:val="22"/>
              </w:rPr>
              <w:t>Early recovery signs; frac white space eliminated</w:t>
            </w:r>
          </w:p>
        </w:tc>
        <w:tc>
          <w:tcPr>
            <w:tcW w:type="dxa" w:w="1234"/>
          </w:tcPr>
          <w:p>
            <w:r>
              <w:rPr>
                <w:rFonts w:ascii="Calibri" w:hAnsi="Calibri"/>
                <w:sz w:val="22"/>
              </w:rPr>
              <w:t>~In line</w:t>
            </w:r>
          </w:p>
        </w:tc>
      </w:tr>
      <w:tr>
        <w:tc>
          <w:tcPr>
            <w:tcW w:type="dxa" w:w="1234"/>
          </w:tcPr>
          <w:p>
            <w:r>
              <w:rPr>
                <w:rFonts w:ascii="Calibri" w:hAnsi="Calibri"/>
                <w:sz w:val="22"/>
              </w:rPr>
              <w:t>Revenue — International / ROW ($B)</w:t>
            </w:r>
          </w:p>
        </w:tc>
        <w:tc>
          <w:tcPr>
            <w:tcW w:type="dxa" w:w="1234"/>
          </w:tcPr>
          <w:p>
            <w:r>
              <w:rPr>
                <w:rFonts w:ascii="Calibri" w:hAnsi="Calibri"/>
                <w:sz w:val="22"/>
              </w:rPr>
              <w:t>$3.266B</w:t>
            </w:r>
          </w:p>
        </w:tc>
        <w:tc>
          <w:tcPr>
            <w:tcW w:type="dxa" w:w="1234"/>
          </w:tcPr>
          <w:p>
            <w:r>
              <w:rPr>
                <w:rFonts w:ascii="Calibri" w:hAnsi="Calibri"/>
                <w:sz w:val="22"/>
              </w:rPr>
              <w:t>$3.251B</w:t>
            </w:r>
          </w:p>
        </w:tc>
        <w:tc>
          <w:tcPr>
            <w:tcW w:type="dxa" w:w="1234"/>
          </w:tcPr>
          <w:p>
            <w:r>
              <w:rPr>
                <w:rFonts w:ascii="Calibri" w:hAnsi="Calibri"/>
                <w:sz w:val="22"/>
              </w:rPr>
              <w:t>$3.270B</w:t>
            </w:r>
          </w:p>
        </w:tc>
        <w:tc>
          <w:tcPr>
            <w:tcW w:type="dxa" w:w="1234"/>
          </w:tcPr>
          <w:p>
            <w:r>
              <w:rPr>
                <w:rFonts w:ascii="Calibri" w:hAnsi="Calibri"/>
                <w:b/>
                <w:color w:val="30A46C"/>
                <w:sz w:val="22"/>
              </w:rPr>
              <w:t>+0.6% YoY</w:t>
            </w:r>
          </w:p>
        </w:tc>
        <w:tc>
          <w:tcPr>
            <w:tcW w:type="dxa" w:w="1234"/>
          </w:tcPr>
          <w:p>
            <w:r>
              <w:rPr>
                <w:rFonts w:ascii="Calibri" w:hAnsi="Calibri"/>
                <w:sz w:val="22"/>
              </w:rPr>
              <w:t>Mid-to-high single digit YoY growth ex-Middle East; Latin America leading</w:t>
            </w:r>
          </w:p>
        </w:tc>
        <w:tc>
          <w:tcPr>
            <w:tcW w:type="dxa" w:w="1234"/>
          </w:tcPr>
          <w:p>
            <w:r>
              <w:rPr>
                <w:rFonts w:ascii="Calibri" w:hAnsi="Calibri"/>
                <w:sz w:val="22"/>
              </w:rPr>
              <w:t>~In line</w:t>
            </w:r>
          </w:p>
        </w:tc>
      </w:tr>
      <w:tr>
        <w:tc>
          <w:tcPr>
            <w:tcW w:type="dxa" w:w="1234"/>
          </w:tcPr>
          <w:p>
            <w:r>
              <w:rPr>
                <w:rFonts w:ascii="Calibri" w:hAnsi="Calibri"/>
                <w:sz w:val="22"/>
              </w:rPr>
              <w:t>Revenue — C&amp;P Division ($B)</w:t>
            </w:r>
          </w:p>
        </w:tc>
        <w:tc>
          <w:tcPr>
            <w:tcW w:type="dxa" w:w="1234"/>
          </w:tcPr>
          <w:p>
            <w:r>
              <w:rPr>
                <w:rFonts w:ascii="Calibri" w:hAnsi="Calibri"/>
                <w:sz w:val="22"/>
              </w:rPr>
              <w:t>$3.016B</w:t>
            </w:r>
          </w:p>
        </w:tc>
        <w:tc>
          <w:tcPr>
            <w:tcW w:type="dxa" w:w="1234"/>
          </w:tcPr>
          <w:p>
            <w:r>
              <w:rPr>
                <w:rFonts w:ascii="Calibri" w:hAnsi="Calibri"/>
                <w:sz w:val="22"/>
              </w:rPr>
              <w:t>$3.171B</w:t>
            </w:r>
          </w:p>
        </w:tc>
        <w:tc>
          <w:tcPr>
            <w:tcW w:type="dxa" w:w="1234"/>
          </w:tcPr>
          <w:p>
            <w:r>
              <w:rPr>
                <w:rFonts w:ascii="Calibri" w:hAnsi="Calibri"/>
                <w:sz w:val="22"/>
              </w:rPr>
              <w:t>$3.162B</w:t>
            </w:r>
          </w:p>
        </w:tc>
        <w:tc>
          <w:tcPr>
            <w:tcW w:type="dxa" w:w="1234"/>
          </w:tcPr>
          <w:p>
            <w:r>
              <w:rPr>
                <w:rFonts w:ascii="Calibri" w:hAnsi="Calibri"/>
                <w:b/>
                <w:color w:val="E5484D"/>
                <w:sz w:val="22"/>
              </w:rPr>
              <w:t>−0.3% YoY</w:t>
            </w:r>
          </w:p>
        </w:tc>
        <w:tc>
          <w:tcPr>
            <w:tcW w:type="dxa" w:w="1234"/>
          </w:tcPr>
          <w:p>
            <w:r>
              <w:rPr>
                <w:rFonts w:ascii="Calibri" w:hAnsi="Calibri"/>
                <w:sz w:val="22"/>
              </w:rPr>
              <w:t>+4–6% sequential</w:t>
            </w:r>
          </w:p>
        </w:tc>
        <w:tc>
          <w:tcPr>
            <w:tcW w:type="dxa" w:w="1234"/>
          </w:tcPr>
          <w:p>
            <w:r>
              <w:rPr>
                <w:rFonts w:ascii="Calibri" w:hAnsi="Calibri"/>
                <w:sz w:val="22"/>
              </w:rPr>
              <w:t>~In line (midpoint ~+5% seq = ~$3.17B)</w:t>
            </w:r>
          </w:p>
        </w:tc>
      </w:tr>
      <w:tr>
        <w:tc>
          <w:tcPr>
            <w:tcW w:type="dxa" w:w="1234"/>
          </w:tcPr>
          <w:p>
            <w:r>
              <w:rPr>
                <w:rFonts w:ascii="Calibri" w:hAnsi="Calibri"/>
                <w:sz w:val="22"/>
              </w:rPr>
              <w:t>Revenue — D&amp;E Division ($B)</w:t>
            </w:r>
          </w:p>
        </w:tc>
        <w:tc>
          <w:tcPr>
            <w:tcW w:type="dxa" w:w="1234"/>
          </w:tcPr>
          <w:p>
            <w:r>
              <w:rPr>
                <w:rFonts w:ascii="Calibri" w:hAnsi="Calibri"/>
                <w:sz w:val="22"/>
              </w:rPr>
              <w:t>$2.386B</w:t>
            </w:r>
          </w:p>
        </w:tc>
        <w:tc>
          <w:tcPr>
            <w:tcW w:type="dxa" w:w="1234"/>
          </w:tcPr>
          <w:p>
            <w:r>
              <w:rPr>
                <w:rFonts w:ascii="Calibri" w:hAnsi="Calibri"/>
                <w:sz w:val="22"/>
              </w:rPr>
              <w:t>$2.339B</w:t>
            </w:r>
          </w:p>
        </w:tc>
        <w:tc>
          <w:tcPr>
            <w:tcW w:type="dxa" w:w="1234"/>
          </w:tcPr>
          <w:p>
            <w:r>
              <w:rPr>
                <w:rFonts w:ascii="Calibri" w:hAnsi="Calibri"/>
                <w:sz w:val="22"/>
              </w:rPr>
              <w:t>$2.352B</w:t>
            </w:r>
          </w:p>
        </w:tc>
        <w:tc>
          <w:tcPr>
            <w:tcW w:type="dxa" w:w="1234"/>
          </w:tcPr>
          <w:p>
            <w:r>
              <w:rPr>
                <w:rFonts w:ascii="Calibri" w:hAnsi="Calibri"/>
                <w:b/>
                <w:color w:val="30A46C"/>
                <w:sz w:val="22"/>
              </w:rPr>
              <w:t>+0.6% YoY</w:t>
            </w:r>
          </w:p>
        </w:tc>
        <w:tc>
          <w:tcPr>
            <w:tcW w:type="dxa" w:w="1234"/>
          </w:tcPr>
          <w:p>
            <w:r>
              <w:rPr>
                <w:rFonts w:ascii="Calibri" w:hAnsi="Calibri"/>
                <w:sz w:val="22"/>
              </w:rPr>
              <w:t>Flat to −2% sequential (software roll-off)</w:t>
            </w:r>
          </w:p>
        </w:tc>
        <w:tc>
          <w:tcPr>
            <w:tcW w:type="dxa" w:w="1234"/>
          </w:tcPr>
          <w:p>
            <w:r>
              <w:rPr>
                <w:rFonts w:ascii="Calibri" w:hAnsi="Calibri"/>
                <w:sz w:val="22"/>
              </w:rPr>
              <w:t>~In line (midpoint −1% seq = ~$2.362B)</w:t>
            </w:r>
          </w:p>
        </w:tc>
      </w:tr>
      <w:tr>
        <w:tc>
          <w:tcPr>
            <w:tcW w:type="dxa" w:w="1234"/>
          </w:tcPr>
          <w:p>
            <w:r>
              <w:rPr>
                <w:rFonts w:ascii="Calibri" w:hAnsi="Calibri"/>
                <w:sz w:val="22"/>
              </w:rPr>
              <w:t>C&amp;P Operating Income ($B)</w:t>
            </w:r>
          </w:p>
        </w:tc>
        <w:tc>
          <w:tcPr>
            <w:tcW w:type="dxa" w:w="1234"/>
          </w:tcPr>
          <w:p>
            <w:r>
              <w:rPr>
                <w:rFonts w:ascii="Calibri" w:hAnsi="Calibri"/>
                <w:sz w:val="22"/>
              </w:rPr>
              <w:t>$0.439B</w:t>
            </w:r>
          </w:p>
        </w:tc>
        <w:tc>
          <w:tcPr>
            <w:tcW w:type="dxa" w:w="1234"/>
          </w:tcPr>
          <w:p>
            <w:r>
              <w:rPr>
                <w:rFonts w:ascii="Calibri" w:hAnsi="Calibri"/>
                <w:sz w:val="22"/>
              </w:rPr>
              <w:t>$0.513B</w:t>
            </w:r>
          </w:p>
        </w:tc>
        <w:tc>
          <w:tcPr>
            <w:tcW w:type="dxa" w:w="1234"/>
          </w:tcPr>
          <w:p>
            <w:r>
              <w:rPr>
                <w:rFonts w:ascii="Calibri" w:hAnsi="Calibri"/>
                <w:sz w:val="22"/>
              </w:rPr>
              <w:t>$0.487B</w:t>
            </w:r>
          </w:p>
        </w:tc>
        <w:tc>
          <w:tcPr>
            <w:tcW w:type="dxa" w:w="1234"/>
          </w:tcPr>
          <w:p>
            <w:r>
              <w:rPr>
                <w:rFonts w:ascii="Calibri" w:hAnsi="Calibri"/>
                <w:b/>
                <w:color w:val="E5484D"/>
                <w:sz w:val="22"/>
              </w:rPr>
              <w:t>−5.1% YoY</w:t>
            </w:r>
          </w:p>
        </w:tc>
        <w:tc>
          <w:tcPr>
            <w:tcW w:type="dxa" w:w="1234"/>
          </w:tcPr>
          <w:p>
            <w:r>
              <w:rPr>
                <w:rFonts w:ascii="Calibri" w:hAnsi="Calibri"/>
                <w:sz w:val="22"/>
              </w:rPr>
              <w:t>Margins +50–100 bps seq</w:t>
            </w:r>
          </w:p>
        </w:tc>
        <w:tc>
          <w:tcPr>
            <w:tcW w:type="dxa" w:w="1234"/>
          </w:tcPr>
          <w:p>
            <w:r>
              <w:rPr>
                <w:rFonts w:ascii="Calibri" w:hAnsi="Calibri"/>
                <w:sz w:val="22"/>
              </w:rPr>
              <w:t>~In line</w:t>
            </w:r>
          </w:p>
        </w:tc>
      </w:tr>
      <w:tr>
        <w:tc>
          <w:tcPr>
            <w:tcW w:type="dxa" w:w="1234"/>
          </w:tcPr>
          <w:p>
            <w:r>
              <w:rPr>
                <w:rFonts w:ascii="Calibri" w:hAnsi="Calibri"/>
                <w:sz w:val="22"/>
              </w:rPr>
              <w:t>D&amp;E Operating Income ($B)</w:t>
            </w:r>
          </w:p>
        </w:tc>
        <w:tc>
          <w:tcPr>
            <w:tcW w:type="dxa" w:w="1234"/>
          </w:tcPr>
          <w:p>
            <w:r>
              <w:rPr>
                <w:rFonts w:ascii="Calibri" w:hAnsi="Calibri"/>
                <w:sz w:val="22"/>
              </w:rPr>
              <w:t>$0.351B</w:t>
            </w:r>
          </w:p>
        </w:tc>
        <w:tc>
          <w:tcPr>
            <w:tcW w:type="dxa" w:w="1234"/>
          </w:tcPr>
          <w:p>
            <w:r>
              <w:rPr>
                <w:rFonts w:ascii="Calibri" w:hAnsi="Calibri"/>
                <w:sz w:val="22"/>
              </w:rPr>
              <w:t>$0.312B</w:t>
            </w:r>
          </w:p>
        </w:tc>
        <w:tc>
          <w:tcPr>
            <w:tcW w:type="dxa" w:w="1234"/>
          </w:tcPr>
          <w:p>
            <w:r>
              <w:rPr>
                <w:rFonts w:ascii="Calibri" w:hAnsi="Calibri"/>
                <w:sz w:val="22"/>
              </w:rPr>
              <w:t>$0.322B</w:t>
            </w:r>
          </w:p>
        </w:tc>
        <w:tc>
          <w:tcPr>
            <w:tcW w:type="dxa" w:w="1234"/>
          </w:tcPr>
          <w:p>
            <w:r>
              <w:rPr>
                <w:rFonts w:ascii="Calibri" w:hAnsi="Calibri"/>
                <w:b/>
                <w:color w:val="30A46C"/>
                <w:sz w:val="22"/>
              </w:rPr>
              <w:t>+3.2% YoY</w:t>
            </w:r>
          </w:p>
        </w:tc>
        <w:tc>
          <w:tcPr>
            <w:tcW w:type="dxa" w:w="1234"/>
          </w:tcPr>
          <w:p>
            <w:r>
              <w:rPr>
                <w:rFonts w:ascii="Calibri" w:hAnsi="Calibri"/>
                <w:sz w:val="22"/>
              </w:rPr>
              <w:t>Margins −75 to −125 bps seq (software roll-off)</w:t>
            </w:r>
          </w:p>
        </w:tc>
        <w:tc>
          <w:tcPr>
            <w:tcW w:type="dxa" w:w="1234"/>
          </w:tcPr>
          <w:p>
            <w:r>
              <w:rPr>
                <w:rFonts w:ascii="Calibri" w:hAnsi="Calibri"/>
                <w:sz w:val="22"/>
              </w:rPr>
              <w:t>~In line</w:t>
            </w:r>
          </w:p>
        </w:tc>
      </w:tr>
      <w:tr>
        <w:tc>
          <w:tcPr>
            <w:tcW w:type="dxa" w:w="1234"/>
          </w:tcPr>
          <w:p>
            <w:r>
              <w:rPr>
                <w:rFonts w:ascii="Calibri" w:hAnsi="Calibri"/>
                <w:sz w:val="22"/>
              </w:rPr>
              <w:t>Free Cash Flow ($B)</w:t>
            </w:r>
          </w:p>
        </w:tc>
        <w:tc>
          <w:tcPr>
            <w:tcW w:type="dxa" w:w="1234"/>
          </w:tcPr>
          <w:p>
            <w:r>
              <w:rPr>
                <w:rFonts w:ascii="Calibri" w:hAnsi="Calibri"/>
                <w:sz w:val="22"/>
              </w:rPr>
              <w:t>$0.081B</w:t>
            </w:r>
          </w:p>
        </w:tc>
        <w:tc>
          <w:tcPr>
            <w:tcW w:type="dxa" w:w="1234"/>
          </w:tcPr>
          <w:p>
            <w:r>
              <w:rPr>
                <w:rFonts w:ascii="Calibri" w:hAnsi="Calibri"/>
                <w:sz w:val="22"/>
              </w:rPr>
              <w:t>$0.542B</w:t>
            </w:r>
          </w:p>
        </w:tc>
        <w:tc>
          <w:tcPr>
            <w:tcW w:type="dxa" w:w="1234"/>
          </w:tcPr>
          <w:p>
            <w:r>
              <w:rPr>
                <w:rFonts w:ascii="Calibri" w:hAnsi="Calibri"/>
                <w:sz w:val="22"/>
              </w:rPr>
              <w:t>$0.449B</w:t>
            </w:r>
          </w:p>
        </w:tc>
        <w:tc>
          <w:tcPr>
            <w:tcW w:type="dxa" w:w="1234"/>
          </w:tcPr>
          <w:p>
            <w:r>
              <w:rPr>
                <w:rFonts w:ascii="Calibri" w:hAnsi="Calibri"/>
                <w:b/>
                <w:color w:val="E5484D"/>
                <w:sz w:val="22"/>
              </w:rPr>
              <w:t>−17.2% YoY</w:t>
            </w:r>
          </w:p>
        </w:tc>
        <w:tc>
          <w:tcPr>
            <w:tcW w:type="dxa" w:w="1234"/>
          </w:tcPr>
          <w:p>
            <w:r>
              <w:rPr>
                <w:rFonts w:ascii="Calibri" w:hAnsi="Calibri"/>
                <w:sz w:val="22"/>
              </w:rPr>
              <w:t>Full-year CapEx ~$1.1B; FCF expected to improve in H2</w:t>
            </w:r>
          </w:p>
        </w:tc>
        <w:tc>
          <w:tcPr>
            <w:tcW w:type="dxa" w:w="1234"/>
          </w:tcPr>
          <w:p>
            <w:r>
              <w:rPr>
                <w:rFonts w:ascii="Calibri" w:hAnsi="Calibri"/>
                <w:sz w:val="22"/>
              </w:rPr>
              <w:t>N/A — no explicit quarterly guide</w:t>
            </w:r>
          </w:p>
        </w:tc>
      </w:tr>
    </w:tbl>
    <w:p>
      <w:r>
        <w:rPr>
          <w:rFonts w:ascii="Calibri" w:hAnsi="Calibri"/>
          <w:i/>
          <w:color w:val="525866"/>
          <w:sz w:val="22"/>
        </w:rPr>
        <w:t>Sources: Visible Alpha Consensus and Actuals Data. Q2 2026 consensus as of July 20, 2026. Q1 2026 actuals reported April 21, 2026. Q2 2025 actuals as reported. Guidance from Q1 2026 earnings call (April 21, 2026).</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 ($B)</w:t>
            </w:r>
          </w:p>
        </w:tc>
        <w:tc>
          <w:tcPr>
            <w:tcW w:type="dxa" w:w="1440"/>
          </w:tcPr>
          <w:p>
            <w:r>
              <w:rPr>
                <w:rFonts w:ascii="Calibri" w:hAnsi="Calibri"/>
                <w:sz w:val="22"/>
              </w:rPr>
              <w:t>$5.402B</w:t>
            </w:r>
          </w:p>
        </w:tc>
        <w:tc>
          <w:tcPr>
            <w:tcW w:type="dxa" w:w="1440"/>
          </w:tcPr>
          <w:p>
            <w:r>
              <w:rPr>
                <w:rFonts w:ascii="Calibri" w:hAnsi="Calibri"/>
                <w:sz w:val="22"/>
              </w:rPr>
              <w:t>$5.300B</w:t>
            </w:r>
          </w:p>
        </w:tc>
        <w:tc>
          <w:tcPr>
            <w:tcW w:type="dxa" w:w="1440"/>
          </w:tcPr>
          <w:p>
            <w:r>
              <w:rPr>
                <w:rFonts w:ascii="Calibri" w:hAnsi="Calibri"/>
                <w:b/>
                <w:color w:val="30A46C"/>
                <w:sz w:val="22"/>
              </w:rPr>
              <w:t>+1.9%</w:t>
            </w:r>
          </w:p>
        </w:tc>
        <w:tc>
          <w:tcPr>
            <w:tcW w:type="dxa" w:w="1440"/>
          </w:tcPr>
          <w:p>
            <w:r>
              <w:rPr>
                <w:rFonts w:ascii="Calibri" w:hAnsi="Calibri"/>
                <w:b/>
                <w:sz w:val="22"/>
              </w:rPr>
              <w:t>Beat</w:t>
            </w:r>
          </w:p>
        </w:tc>
      </w:tr>
      <w:tr>
        <w:tc>
          <w:tcPr>
            <w:tcW w:type="dxa" w:w="1440"/>
          </w:tcPr>
          <w:p>
            <w:r>
              <w:rPr>
                <w:rFonts w:ascii="Calibri" w:hAnsi="Calibri"/>
                <w:sz w:val="22"/>
              </w:rPr>
              <w:t>Q1 2026</w:t>
            </w:r>
          </w:p>
        </w:tc>
        <w:tc>
          <w:tcPr>
            <w:tcW w:type="dxa" w:w="1440"/>
          </w:tcPr>
          <w:p>
            <w:r>
              <w:rPr>
                <w:rFonts w:ascii="Calibri" w:hAnsi="Calibri"/>
                <w:sz w:val="22"/>
              </w:rPr>
              <w:t>EPS — Diluted Op.</w:t>
            </w:r>
          </w:p>
        </w:tc>
        <w:tc>
          <w:tcPr>
            <w:tcW w:type="dxa" w:w="1440"/>
          </w:tcPr>
          <w:p>
            <w:r>
              <w:rPr>
                <w:rFonts w:ascii="Calibri" w:hAnsi="Calibri"/>
                <w:sz w:val="22"/>
              </w:rPr>
              <w:t>$0.55</w:t>
            </w:r>
          </w:p>
        </w:tc>
        <w:tc>
          <w:tcPr>
            <w:tcW w:type="dxa" w:w="1440"/>
          </w:tcPr>
          <w:p>
            <w:r>
              <w:rPr>
                <w:rFonts w:ascii="Calibri" w:hAnsi="Calibri"/>
                <w:sz w:val="22"/>
              </w:rPr>
              <w:t>$0.496</w:t>
            </w:r>
          </w:p>
        </w:tc>
        <w:tc>
          <w:tcPr>
            <w:tcW w:type="dxa" w:w="1440"/>
          </w:tcPr>
          <w:p>
            <w:r>
              <w:rPr>
                <w:rFonts w:ascii="Calibri" w:hAnsi="Calibri"/>
                <w:b/>
                <w:color w:val="30A46C"/>
                <w:sz w:val="22"/>
              </w:rPr>
              <w:t>+10.9%</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Revenue ($B)</w:t>
            </w:r>
          </w:p>
        </w:tc>
        <w:tc>
          <w:tcPr>
            <w:tcW w:type="dxa" w:w="1440"/>
          </w:tcPr>
          <w:p>
            <w:r>
              <w:rPr>
                <w:rFonts w:ascii="Calibri" w:hAnsi="Calibri"/>
                <w:sz w:val="22"/>
              </w:rPr>
              <w:t>$5.657B</w:t>
            </w:r>
          </w:p>
        </w:tc>
        <w:tc>
          <w:tcPr>
            <w:tcW w:type="dxa" w:w="1440"/>
          </w:tcPr>
          <w:p>
            <w:r>
              <w:rPr>
                <w:rFonts w:ascii="Calibri" w:hAnsi="Calibri"/>
                <w:sz w:val="22"/>
              </w:rPr>
              <w:t>$5.428B</w:t>
            </w:r>
          </w:p>
        </w:tc>
        <w:tc>
          <w:tcPr>
            <w:tcW w:type="dxa" w:w="1440"/>
          </w:tcPr>
          <w:p>
            <w:r>
              <w:rPr>
                <w:rFonts w:ascii="Calibri" w:hAnsi="Calibri"/>
                <w:b/>
                <w:color w:val="30A46C"/>
                <w:sz w:val="22"/>
              </w:rPr>
              <w:t>+4.2%</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EPS — Diluted Op.</w:t>
            </w:r>
          </w:p>
        </w:tc>
        <w:tc>
          <w:tcPr>
            <w:tcW w:type="dxa" w:w="1440"/>
          </w:tcPr>
          <w:p>
            <w:r>
              <w:rPr>
                <w:rFonts w:ascii="Calibri" w:hAnsi="Calibri"/>
                <w:sz w:val="22"/>
              </w:rPr>
              <w:t>$0.69</w:t>
            </w:r>
          </w:p>
        </w:tc>
        <w:tc>
          <w:tcPr>
            <w:tcW w:type="dxa" w:w="1440"/>
          </w:tcPr>
          <w:p>
            <w:r>
              <w:rPr>
                <w:rFonts w:ascii="Calibri" w:hAnsi="Calibri"/>
                <w:sz w:val="22"/>
              </w:rPr>
              <w:t>$0.549</w:t>
            </w:r>
          </w:p>
        </w:tc>
        <w:tc>
          <w:tcPr>
            <w:tcW w:type="dxa" w:w="1440"/>
          </w:tcPr>
          <w:p>
            <w:r>
              <w:rPr>
                <w:rFonts w:ascii="Calibri" w:hAnsi="Calibri"/>
                <w:b/>
                <w:color w:val="30A46C"/>
                <w:sz w:val="22"/>
              </w:rPr>
              <w:t>+25.7%</w:t>
            </w:r>
          </w:p>
        </w:tc>
        <w:tc>
          <w:tcPr>
            <w:tcW w:type="dxa" w:w="1440"/>
          </w:tcPr>
          <w:p>
            <w:r>
              <w:rPr>
                <w:rFonts w:ascii="Calibri" w:hAnsi="Calibri"/>
                <w:b/>
                <w:sz w:val="22"/>
              </w:rPr>
              <w:t>Beat</w:t>
            </w:r>
          </w:p>
        </w:tc>
      </w:tr>
      <w:tr>
        <w:tc>
          <w:tcPr>
            <w:tcW w:type="dxa" w:w="1440"/>
          </w:tcPr>
          <w:p>
            <w:r>
              <w:rPr>
                <w:rFonts w:ascii="Calibri" w:hAnsi="Calibri"/>
                <w:sz w:val="22"/>
              </w:rPr>
              <w:t>Q3 2025</w:t>
            </w:r>
          </w:p>
        </w:tc>
        <w:tc>
          <w:tcPr>
            <w:tcW w:type="dxa" w:w="1440"/>
          </w:tcPr>
          <w:p>
            <w:r>
              <w:rPr>
                <w:rFonts w:ascii="Calibri" w:hAnsi="Calibri"/>
                <w:sz w:val="22"/>
              </w:rPr>
              <w:t>Revenue ($B)</w:t>
            </w:r>
          </w:p>
        </w:tc>
        <w:tc>
          <w:tcPr>
            <w:tcW w:type="dxa" w:w="1440"/>
          </w:tcPr>
          <w:p>
            <w:r>
              <w:rPr>
                <w:rFonts w:ascii="Calibri" w:hAnsi="Calibri"/>
                <w:sz w:val="22"/>
              </w:rPr>
              <w:t>$5.600B</w:t>
            </w:r>
          </w:p>
        </w:tc>
        <w:tc>
          <w:tcPr>
            <w:tcW w:type="dxa" w:w="1440"/>
          </w:tcPr>
          <w:p>
            <w:r>
              <w:rPr>
                <w:rFonts w:ascii="Calibri" w:hAnsi="Calibri"/>
                <w:sz w:val="22"/>
              </w:rPr>
              <w:t>$5.385B</w:t>
            </w:r>
          </w:p>
        </w:tc>
        <w:tc>
          <w:tcPr>
            <w:tcW w:type="dxa" w:w="1440"/>
          </w:tcPr>
          <w:p>
            <w:r>
              <w:rPr>
                <w:rFonts w:ascii="Calibri" w:hAnsi="Calibri"/>
                <w:b/>
                <w:color w:val="30A46C"/>
                <w:sz w:val="22"/>
              </w:rPr>
              <w:t>+4.0%</w:t>
            </w:r>
          </w:p>
        </w:tc>
        <w:tc>
          <w:tcPr>
            <w:tcW w:type="dxa" w:w="1440"/>
          </w:tcPr>
          <w:p>
            <w:r>
              <w:rPr>
                <w:rFonts w:ascii="Calibri" w:hAnsi="Calibri"/>
                <w:b/>
                <w:sz w:val="22"/>
              </w:rPr>
              <w:t>Beat</w:t>
            </w:r>
          </w:p>
        </w:tc>
      </w:tr>
      <w:tr>
        <w:tc>
          <w:tcPr>
            <w:tcW w:type="dxa" w:w="1440"/>
          </w:tcPr>
          <w:p>
            <w:r>
              <w:rPr>
                <w:rFonts w:ascii="Calibri" w:hAnsi="Calibri"/>
                <w:sz w:val="22"/>
              </w:rPr>
              <w:t>Q3 2025</w:t>
            </w:r>
          </w:p>
        </w:tc>
        <w:tc>
          <w:tcPr>
            <w:tcW w:type="dxa" w:w="1440"/>
          </w:tcPr>
          <w:p>
            <w:r>
              <w:rPr>
                <w:rFonts w:ascii="Calibri" w:hAnsi="Calibri"/>
                <w:sz w:val="22"/>
              </w:rPr>
              <w:t>EPS — Diluted Op.</w:t>
            </w:r>
          </w:p>
        </w:tc>
        <w:tc>
          <w:tcPr>
            <w:tcW w:type="dxa" w:w="1440"/>
          </w:tcPr>
          <w:p>
            <w:r>
              <w:rPr>
                <w:rFonts w:ascii="Calibri" w:hAnsi="Calibri"/>
                <w:sz w:val="22"/>
              </w:rPr>
              <w:t>$0.58</w:t>
            </w:r>
          </w:p>
        </w:tc>
        <w:tc>
          <w:tcPr>
            <w:tcW w:type="dxa" w:w="1440"/>
          </w:tcPr>
          <w:p>
            <w:r>
              <w:rPr>
                <w:rFonts w:ascii="Calibri" w:hAnsi="Calibri"/>
                <w:sz w:val="22"/>
              </w:rPr>
              <w:t>$0.492</w:t>
            </w:r>
          </w:p>
        </w:tc>
        <w:tc>
          <w:tcPr>
            <w:tcW w:type="dxa" w:w="1440"/>
          </w:tcPr>
          <w:p>
            <w:r>
              <w:rPr>
                <w:rFonts w:ascii="Calibri" w:hAnsi="Calibri"/>
                <w:b/>
                <w:color w:val="30A46C"/>
                <w:sz w:val="22"/>
              </w:rPr>
              <w:t>+17.9%</w:t>
            </w:r>
          </w:p>
        </w:tc>
        <w:tc>
          <w:tcPr>
            <w:tcW w:type="dxa" w:w="1440"/>
          </w:tcPr>
          <w:p>
            <w:r>
              <w:rPr>
                <w:rFonts w:ascii="Calibri" w:hAnsi="Calibri"/>
                <w:b/>
                <w:sz w:val="22"/>
              </w:rPr>
              <w:t>Beat</w:t>
            </w:r>
          </w:p>
        </w:tc>
      </w:tr>
      <w:tr>
        <w:tc>
          <w:tcPr>
            <w:tcW w:type="dxa" w:w="1440"/>
          </w:tcPr>
          <w:p>
            <w:r>
              <w:rPr>
                <w:rFonts w:ascii="Calibri" w:hAnsi="Calibri"/>
                <w:sz w:val="22"/>
              </w:rPr>
              <w:t>Q2 2025</w:t>
            </w:r>
          </w:p>
        </w:tc>
        <w:tc>
          <w:tcPr>
            <w:tcW w:type="dxa" w:w="1440"/>
          </w:tcPr>
          <w:p>
            <w:r>
              <w:rPr>
                <w:rFonts w:ascii="Calibri" w:hAnsi="Calibri"/>
                <w:sz w:val="22"/>
              </w:rPr>
              <w:t>Revenue ($B)</w:t>
            </w:r>
          </w:p>
        </w:tc>
        <w:tc>
          <w:tcPr>
            <w:tcW w:type="dxa" w:w="1440"/>
          </w:tcPr>
          <w:p>
            <w:r>
              <w:rPr>
                <w:rFonts w:ascii="Calibri" w:hAnsi="Calibri"/>
                <w:sz w:val="22"/>
              </w:rPr>
              <w:t>$5.510B</w:t>
            </w:r>
          </w:p>
        </w:tc>
        <w:tc>
          <w:tcPr>
            <w:tcW w:type="dxa" w:w="1440"/>
          </w:tcPr>
          <w:p>
            <w:r>
              <w:rPr>
                <w:rFonts w:ascii="Calibri" w:hAnsi="Calibri"/>
                <w:sz w:val="22"/>
              </w:rPr>
              <w:t>$5.418B</w:t>
            </w:r>
          </w:p>
        </w:tc>
        <w:tc>
          <w:tcPr>
            <w:tcW w:type="dxa" w:w="1440"/>
          </w:tcPr>
          <w:p>
            <w:r>
              <w:rPr>
                <w:rFonts w:ascii="Calibri" w:hAnsi="Calibri"/>
                <w:b/>
                <w:color w:val="30A46C"/>
                <w:sz w:val="22"/>
              </w:rPr>
              <w:t>+1.7%</w:t>
            </w:r>
          </w:p>
        </w:tc>
        <w:tc>
          <w:tcPr>
            <w:tcW w:type="dxa" w:w="1440"/>
          </w:tcPr>
          <w:p>
            <w:r>
              <w:rPr>
                <w:rFonts w:ascii="Calibri" w:hAnsi="Calibri"/>
                <w:b/>
                <w:sz w:val="22"/>
              </w:rPr>
              <w:t>Beat</w:t>
            </w:r>
          </w:p>
        </w:tc>
      </w:tr>
      <w:tr>
        <w:tc>
          <w:tcPr>
            <w:tcW w:type="dxa" w:w="1440"/>
          </w:tcPr>
          <w:p>
            <w:r>
              <w:rPr>
                <w:rFonts w:ascii="Calibri" w:hAnsi="Calibri"/>
                <w:sz w:val="22"/>
              </w:rPr>
              <w:t>Q2 2025</w:t>
            </w:r>
          </w:p>
        </w:tc>
        <w:tc>
          <w:tcPr>
            <w:tcW w:type="dxa" w:w="1440"/>
          </w:tcPr>
          <w:p>
            <w:r>
              <w:rPr>
                <w:rFonts w:ascii="Calibri" w:hAnsi="Calibri"/>
                <w:sz w:val="22"/>
              </w:rPr>
              <w:t>EPS — Diluted Op.</w:t>
            </w:r>
          </w:p>
        </w:tc>
        <w:tc>
          <w:tcPr>
            <w:tcW w:type="dxa" w:w="1440"/>
          </w:tcPr>
          <w:p>
            <w:r>
              <w:rPr>
                <w:rFonts w:ascii="Calibri" w:hAnsi="Calibri"/>
                <w:sz w:val="22"/>
              </w:rPr>
              <w:t>$0.55</w:t>
            </w:r>
          </w:p>
        </w:tc>
        <w:tc>
          <w:tcPr>
            <w:tcW w:type="dxa" w:w="1440"/>
          </w:tcPr>
          <w:p>
            <w:r>
              <w:rPr>
                <w:rFonts w:ascii="Calibri" w:hAnsi="Calibri"/>
                <w:sz w:val="22"/>
              </w:rPr>
              <w:t>$0.551</w:t>
            </w:r>
          </w:p>
        </w:tc>
        <w:tc>
          <w:tcPr>
            <w:tcW w:type="dxa" w:w="1440"/>
          </w:tcPr>
          <w:p>
            <w:r>
              <w:rPr>
                <w:rFonts w:ascii="Calibri" w:hAnsi="Calibri"/>
                <w:b/>
                <w:color w:val="E5484D"/>
                <w:sz w:val="22"/>
              </w:rPr>
              <w:t>−0.2%</w:t>
            </w:r>
          </w:p>
        </w:tc>
        <w:tc>
          <w:tcPr>
            <w:tcW w:type="dxa" w:w="1440"/>
          </w:tcPr>
          <w:p>
            <w:r>
              <w:rPr>
                <w:rFonts w:ascii="Calibri" w:hAnsi="Calibri"/>
                <w:b/>
                <w:sz w:val="22"/>
              </w:rPr>
              <w:t>Miss</w:t>
            </w:r>
          </w:p>
        </w:tc>
      </w:tr>
      <w:tr>
        <w:tc>
          <w:tcPr>
            <w:tcW w:type="dxa" w:w="1440"/>
          </w:tcPr>
          <w:p>
            <w:r>
              <w:rPr>
                <w:rFonts w:ascii="Calibri" w:hAnsi="Calibri"/>
                <w:sz w:val="22"/>
              </w:rPr>
              <w:t>Q1 2025</w:t>
            </w:r>
          </w:p>
        </w:tc>
        <w:tc>
          <w:tcPr>
            <w:tcW w:type="dxa" w:w="1440"/>
          </w:tcPr>
          <w:p>
            <w:r>
              <w:rPr>
                <w:rFonts w:ascii="Calibri" w:hAnsi="Calibri"/>
                <w:sz w:val="22"/>
              </w:rPr>
              <w:t>Revenue ($B)</w:t>
            </w:r>
          </w:p>
        </w:tc>
        <w:tc>
          <w:tcPr>
            <w:tcW w:type="dxa" w:w="1440"/>
          </w:tcPr>
          <w:p>
            <w:r>
              <w:rPr>
                <w:rFonts w:ascii="Calibri" w:hAnsi="Calibri"/>
                <w:sz w:val="22"/>
              </w:rPr>
              <w:t>$5.417B</w:t>
            </w:r>
          </w:p>
        </w:tc>
        <w:tc>
          <w:tcPr>
            <w:tcW w:type="dxa" w:w="1440"/>
          </w:tcPr>
          <w:p>
            <w:r>
              <w:rPr>
                <w:rFonts w:ascii="Calibri" w:hAnsi="Calibri"/>
                <w:sz w:val="22"/>
              </w:rPr>
              <w:t>$5.261B</w:t>
            </w:r>
          </w:p>
        </w:tc>
        <w:tc>
          <w:tcPr>
            <w:tcW w:type="dxa" w:w="1440"/>
          </w:tcPr>
          <w:p>
            <w:r>
              <w:rPr>
                <w:rFonts w:ascii="Calibri" w:hAnsi="Calibri"/>
                <w:b/>
                <w:color w:val="30A46C"/>
                <w:sz w:val="22"/>
              </w:rPr>
              <w:t>+3.0%</w:t>
            </w:r>
          </w:p>
        </w:tc>
        <w:tc>
          <w:tcPr>
            <w:tcW w:type="dxa" w:w="1440"/>
          </w:tcPr>
          <w:p>
            <w:r>
              <w:rPr>
                <w:rFonts w:ascii="Calibri" w:hAnsi="Calibri"/>
                <w:b/>
                <w:sz w:val="22"/>
              </w:rPr>
              <w:t>Beat</w:t>
            </w:r>
          </w:p>
        </w:tc>
      </w:tr>
      <w:tr>
        <w:tc>
          <w:tcPr>
            <w:tcW w:type="dxa" w:w="1440"/>
          </w:tcPr>
          <w:p>
            <w:r>
              <w:rPr>
                <w:rFonts w:ascii="Calibri" w:hAnsi="Calibri"/>
                <w:sz w:val="22"/>
              </w:rPr>
              <w:t>Q1 2025</w:t>
            </w:r>
          </w:p>
        </w:tc>
        <w:tc>
          <w:tcPr>
            <w:tcW w:type="dxa" w:w="1440"/>
          </w:tcPr>
          <w:p>
            <w:r>
              <w:rPr>
                <w:rFonts w:ascii="Calibri" w:hAnsi="Calibri"/>
                <w:sz w:val="22"/>
              </w:rPr>
              <w:t>EPS — Diluted Op.</w:t>
            </w:r>
          </w:p>
        </w:tc>
        <w:tc>
          <w:tcPr>
            <w:tcW w:type="dxa" w:w="1440"/>
          </w:tcPr>
          <w:p>
            <w:r>
              <w:rPr>
                <w:rFonts w:ascii="Calibri" w:hAnsi="Calibri"/>
                <w:sz w:val="22"/>
              </w:rPr>
              <w:t>$0.60</w:t>
            </w:r>
          </w:p>
        </w:tc>
        <w:tc>
          <w:tcPr>
            <w:tcW w:type="dxa" w:w="1440"/>
          </w:tcPr>
          <w:p>
            <w:r>
              <w:rPr>
                <w:rFonts w:ascii="Calibri" w:hAnsi="Calibri"/>
                <w:sz w:val="22"/>
              </w:rPr>
              <w:t>$0.602</w:t>
            </w:r>
          </w:p>
        </w:tc>
        <w:tc>
          <w:tcPr>
            <w:tcW w:type="dxa" w:w="1440"/>
          </w:tcPr>
          <w:p>
            <w:r>
              <w:rPr>
                <w:rFonts w:ascii="Calibri" w:hAnsi="Calibri"/>
                <w:b/>
                <w:color w:val="E5484D"/>
                <w:sz w:val="22"/>
              </w:rPr>
              <w:t>−0.3%</w:t>
            </w:r>
          </w:p>
        </w:tc>
        <w:tc>
          <w:tcPr>
            <w:tcW w:type="dxa" w:w="1440"/>
          </w:tcPr>
          <w:p>
            <w:r>
              <w:rPr>
                <w:rFonts w:ascii="Calibri" w:hAnsi="Calibri"/>
                <w:b/>
                <w:sz w:val="22"/>
              </w:rPr>
              <w:t>Miss</w:t>
            </w:r>
          </w:p>
        </w:tc>
      </w:tr>
      <w:tr>
        <w:tc>
          <w:tcPr>
            <w:tcW w:type="dxa" w:w="1440"/>
          </w:tcPr>
          <w:p>
            <w:r>
              <w:rPr>
                <w:rFonts w:ascii="Calibri" w:hAnsi="Calibri"/>
                <w:sz w:val="22"/>
              </w:rPr>
              <w:t>Q4 2024</w:t>
            </w:r>
          </w:p>
        </w:tc>
        <w:tc>
          <w:tcPr>
            <w:tcW w:type="dxa" w:w="1440"/>
          </w:tcPr>
          <w:p>
            <w:r>
              <w:rPr>
                <w:rFonts w:ascii="Calibri" w:hAnsi="Calibri"/>
                <w:sz w:val="22"/>
              </w:rPr>
              <w:t>Revenue ($B)</w:t>
            </w:r>
          </w:p>
        </w:tc>
        <w:tc>
          <w:tcPr>
            <w:tcW w:type="dxa" w:w="1440"/>
          </w:tcPr>
          <w:p>
            <w:r>
              <w:rPr>
                <w:rFonts w:ascii="Calibri" w:hAnsi="Calibri"/>
                <w:sz w:val="22"/>
              </w:rPr>
              <w:t>$5.610B</w:t>
            </w:r>
          </w:p>
        </w:tc>
        <w:tc>
          <w:tcPr>
            <w:tcW w:type="dxa" w:w="1440"/>
          </w:tcPr>
          <w:p>
            <w:r>
              <w:rPr>
                <w:rFonts w:ascii="Calibri" w:hAnsi="Calibri"/>
                <w:sz w:val="22"/>
              </w:rPr>
              <w:t>$5.627B</w:t>
            </w:r>
          </w:p>
        </w:tc>
        <w:tc>
          <w:tcPr>
            <w:tcW w:type="dxa" w:w="1440"/>
          </w:tcPr>
          <w:p>
            <w:r>
              <w:rPr>
                <w:rFonts w:ascii="Calibri" w:hAnsi="Calibri"/>
                <w:b/>
                <w:color w:val="E5484D"/>
                <w:sz w:val="22"/>
              </w:rPr>
              <w:t>−0.3%</w:t>
            </w:r>
          </w:p>
        </w:tc>
        <w:tc>
          <w:tcPr>
            <w:tcW w:type="dxa" w:w="1440"/>
          </w:tcPr>
          <w:p>
            <w:r>
              <w:rPr>
                <w:rFonts w:ascii="Calibri" w:hAnsi="Calibri"/>
                <w:b/>
                <w:sz w:val="22"/>
              </w:rPr>
              <w:t>Miss</w:t>
            </w:r>
          </w:p>
        </w:tc>
      </w:tr>
      <w:tr>
        <w:tc>
          <w:tcPr>
            <w:tcW w:type="dxa" w:w="1440"/>
          </w:tcPr>
          <w:p>
            <w:r>
              <w:rPr>
                <w:rFonts w:ascii="Calibri" w:hAnsi="Calibri"/>
                <w:sz w:val="22"/>
              </w:rPr>
              <w:t>Q4 2024</w:t>
            </w:r>
          </w:p>
        </w:tc>
        <w:tc>
          <w:tcPr>
            <w:tcW w:type="dxa" w:w="1440"/>
          </w:tcPr>
          <w:p>
            <w:r>
              <w:rPr>
                <w:rFonts w:ascii="Calibri" w:hAnsi="Calibri"/>
                <w:sz w:val="22"/>
              </w:rPr>
              <w:t>EPS — Diluted Op.</w:t>
            </w:r>
          </w:p>
        </w:tc>
        <w:tc>
          <w:tcPr>
            <w:tcW w:type="dxa" w:w="1440"/>
          </w:tcPr>
          <w:p>
            <w:r>
              <w:rPr>
                <w:rFonts w:ascii="Calibri" w:hAnsi="Calibri"/>
                <w:sz w:val="22"/>
              </w:rPr>
              <w:t>$0.70</w:t>
            </w:r>
          </w:p>
        </w:tc>
        <w:tc>
          <w:tcPr>
            <w:tcW w:type="dxa" w:w="1440"/>
          </w:tcPr>
          <w:p>
            <w:r>
              <w:rPr>
                <w:rFonts w:ascii="Calibri" w:hAnsi="Calibri"/>
                <w:sz w:val="22"/>
              </w:rPr>
              <w:t>$0.699</w:t>
            </w:r>
          </w:p>
        </w:tc>
        <w:tc>
          <w:tcPr>
            <w:tcW w:type="dxa" w:w="1440"/>
          </w:tcPr>
          <w:p>
            <w:r>
              <w:rPr>
                <w:rFonts w:ascii="Calibri" w:hAnsi="Calibri"/>
                <w:b/>
                <w:color w:val="30A46C"/>
                <w:sz w:val="22"/>
              </w:rPr>
              <w:t>+0.1%</w:t>
            </w:r>
          </w:p>
        </w:tc>
        <w:tc>
          <w:tcPr>
            <w:tcW w:type="dxa" w:w="1440"/>
          </w:tcPr>
          <w:p>
            <w:r>
              <w:rPr>
                <w:rFonts w:ascii="Calibri" w:hAnsi="Calibri"/>
                <w:b/>
                <w:sz w:val="22"/>
              </w:rPr>
              <w:t>Beat</w:t>
            </w:r>
          </w:p>
        </w:tc>
      </w:tr>
      <w:tr>
        <w:tc>
          <w:tcPr>
            <w:tcW w:type="dxa" w:w="1440"/>
          </w:tcPr>
          <w:p>
            <w:r>
              <w:rPr>
                <w:rFonts w:ascii="Calibri" w:hAnsi="Calibri"/>
                <w:sz w:val="22"/>
              </w:rPr>
              <w:t>Q3 2024</w:t>
            </w:r>
          </w:p>
        </w:tc>
        <w:tc>
          <w:tcPr>
            <w:tcW w:type="dxa" w:w="1440"/>
          </w:tcPr>
          <w:p>
            <w:r>
              <w:rPr>
                <w:rFonts w:ascii="Calibri" w:hAnsi="Calibri"/>
                <w:sz w:val="22"/>
              </w:rPr>
              <w:t>Revenue ($B)</w:t>
            </w:r>
          </w:p>
        </w:tc>
        <w:tc>
          <w:tcPr>
            <w:tcW w:type="dxa" w:w="1440"/>
          </w:tcPr>
          <w:p>
            <w:r>
              <w:rPr>
                <w:rFonts w:ascii="Calibri" w:hAnsi="Calibri"/>
                <w:sz w:val="22"/>
              </w:rPr>
              <w:t>$5.697B</w:t>
            </w:r>
          </w:p>
        </w:tc>
        <w:tc>
          <w:tcPr>
            <w:tcW w:type="dxa" w:w="1440"/>
          </w:tcPr>
          <w:p>
            <w:r>
              <w:rPr>
                <w:rFonts w:ascii="Calibri" w:hAnsi="Calibri"/>
                <w:sz w:val="22"/>
              </w:rPr>
              <w:t>$5.822B</w:t>
            </w:r>
          </w:p>
        </w:tc>
        <w:tc>
          <w:tcPr>
            <w:tcW w:type="dxa" w:w="1440"/>
          </w:tcPr>
          <w:p>
            <w:r>
              <w:rPr>
                <w:rFonts w:ascii="Calibri" w:hAnsi="Calibri"/>
                <w:b/>
                <w:color w:val="E5484D"/>
                <w:sz w:val="22"/>
              </w:rPr>
              <w:t>−2.1%</w:t>
            </w:r>
          </w:p>
        </w:tc>
        <w:tc>
          <w:tcPr>
            <w:tcW w:type="dxa" w:w="1440"/>
          </w:tcPr>
          <w:p>
            <w:r>
              <w:rPr>
                <w:rFonts w:ascii="Calibri" w:hAnsi="Calibri"/>
                <w:b/>
                <w:sz w:val="22"/>
              </w:rPr>
              <w:t>Miss</w:t>
            </w:r>
          </w:p>
        </w:tc>
      </w:tr>
      <w:tr>
        <w:tc>
          <w:tcPr>
            <w:tcW w:type="dxa" w:w="1440"/>
          </w:tcPr>
          <w:p>
            <w:r>
              <w:rPr>
                <w:rFonts w:ascii="Calibri" w:hAnsi="Calibri"/>
                <w:sz w:val="22"/>
              </w:rPr>
              <w:t>Q3 2024</w:t>
            </w:r>
          </w:p>
        </w:tc>
        <w:tc>
          <w:tcPr>
            <w:tcW w:type="dxa" w:w="1440"/>
          </w:tcPr>
          <w:p>
            <w:r>
              <w:rPr>
                <w:rFonts w:ascii="Calibri" w:hAnsi="Calibri"/>
                <w:sz w:val="22"/>
              </w:rPr>
              <w:t>EPS — Diluted Op.</w:t>
            </w:r>
          </w:p>
        </w:tc>
        <w:tc>
          <w:tcPr>
            <w:tcW w:type="dxa" w:w="1440"/>
          </w:tcPr>
          <w:p>
            <w:r>
              <w:rPr>
                <w:rFonts w:ascii="Calibri" w:hAnsi="Calibri"/>
                <w:sz w:val="22"/>
              </w:rPr>
              <w:t>$0.73</w:t>
            </w:r>
          </w:p>
        </w:tc>
        <w:tc>
          <w:tcPr>
            <w:tcW w:type="dxa" w:w="1440"/>
          </w:tcPr>
          <w:p>
            <w:r>
              <w:rPr>
                <w:rFonts w:ascii="Calibri" w:hAnsi="Calibri"/>
                <w:sz w:val="22"/>
              </w:rPr>
              <w:t>$0.754</w:t>
            </w:r>
          </w:p>
        </w:tc>
        <w:tc>
          <w:tcPr>
            <w:tcW w:type="dxa" w:w="1440"/>
          </w:tcPr>
          <w:p>
            <w:r>
              <w:rPr>
                <w:rFonts w:ascii="Calibri" w:hAnsi="Calibri"/>
                <w:b/>
                <w:color w:val="E5484D"/>
                <w:sz w:val="22"/>
              </w:rPr>
              <w:t>−3.2%</w:t>
            </w:r>
          </w:p>
        </w:tc>
        <w:tc>
          <w:tcPr>
            <w:tcW w:type="dxa" w:w="1440"/>
          </w:tcPr>
          <w:p>
            <w:r>
              <w:rPr>
                <w:rFonts w:ascii="Calibri" w:hAnsi="Calibri"/>
                <w:b/>
                <w:sz w:val="22"/>
              </w:rPr>
              <w:t>Miss</w:t>
            </w:r>
          </w:p>
        </w:tc>
      </w:tr>
      <w:tr>
        <w:tc>
          <w:tcPr>
            <w:tcW w:type="dxa" w:w="1440"/>
          </w:tcPr>
          <w:p>
            <w:r>
              <w:rPr>
                <w:rFonts w:ascii="Calibri" w:hAnsi="Calibri"/>
                <w:sz w:val="22"/>
              </w:rPr>
              <w:t>Q2 2024</w:t>
            </w:r>
          </w:p>
        </w:tc>
        <w:tc>
          <w:tcPr>
            <w:tcW w:type="dxa" w:w="1440"/>
          </w:tcPr>
          <w:p>
            <w:r>
              <w:rPr>
                <w:rFonts w:ascii="Calibri" w:hAnsi="Calibri"/>
                <w:sz w:val="22"/>
              </w:rPr>
              <w:t>Revenue ($B)</w:t>
            </w:r>
          </w:p>
        </w:tc>
        <w:tc>
          <w:tcPr>
            <w:tcW w:type="dxa" w:w="1440"/>
          </w:tcPr>
          <w:p>
            <w:r>
              <w:rPr>
                <w:rFonts w:ascii="Calibri" w:hAnsi="Calibri"/>
                <w:sz w:val="22"/>
              </w:rPr>
              <w:t>$5.833B</w:t>
            </w:r>
          </w:p>
        </w:tc>
        <w:tc>
          <w:tcPr>
            <w:tcW w:type="dxa" w:w="1440"/>
          </w:tcPr>
          <w:p>
            <w:r>
              <w:rPr>
                <w:rFonts w:ascii="Calibri" w:hAnsi="Calibri"/>
                <w:sz w:val="22"/>
              </w:rPr>
              <w:t>$5.948B</w:t>
            </w:r>
          </w:p>
        </w:tc>
        <w:tc>
          <w:tcPr>
            <w:tcW w:type="dxa" w:w="1440"/>
          </w:tcPr>
          <w:p>
            <w:r>
              <w:rPr>
                <w:rFonts w:ascii="Calibri" w:hAnsi="Calibri"/>
                <w:b/>
                <w:color w:val="E5484D"/>
                <w:sz w:val="22"/>
              </w:rPr>
              <w:t>−1.9%</w:t>
            </w:r>
          </w:p>
        </w:tc>
        <w:tc>
          <w:tcPr>
            <w:tcW w:type="dxa" w:w="1440"/>
          </w:tcPr>
          <w:p>
            <w:r>
              <w:rPr>
                <w:rFonts w:ascii="Calibri" w:hAnsi="Calibri"/>
                <w:b/>
                <w:sz w:val="22"/>
              </w:rPr>
              <w:t>Miss</w:t>
            </w:r>
          </w:p>
        </w:tc>
      </w:tr>
      <w:tr>
        <w:tc>
          <w:tcPr>
            <w:tcW w:type="dxa" w:w="1440"/>
          </w:tcPr>
          <w:p>
            <w:r>
              <w:rPr>
                <w:rFonts w:ascii="Calibri" w:hAnsi="Calibri"/>
                <w:sz w:val="22"/>
              </w:rPr>
              <w:t>Q2 2024</w:t>
            </w:r>
          </w:p>
        </w:tc>
        <w:tc>
          <w:tcPr>
            <w:tcW w:type="dxa" w:w="1440"/>
          </w:tcPr>
          <w:p>
            <w:r>
              <w:rPr>
                <w:rFonts w:ascii="Calibri" w:hAnsi="Calibri"/>
                <w:sz w:val="22"/>
              </w:rPr>
              <w:t>EPS — Diluted Op.</w:t>
            </w:r>
          </w:p>
        </w:tc>
        <w:tc>
          <w:tcPr>
            <w:tcW w:type="dxa" w:w="1440"/>
          </w:tcPr>
          <w:p>
            <w:r>
              <w:rPr>
                <w:rFonts w:ascii="Calibri" w:hAnsi="Calibri"/>
                <w:sz w:val="22"/>
              </w:rPr>
              <w:t>$0.80</w:t>
            </w:r>
          </w:p>
        </w:tc>
        <w:tc>
          <w:tcPr>
            <w:tcW w:type="dxa" w:w="1440"/>
          </w:tcPr>
          <w:p>
            <w:r>
              <w:rPr>
                <w:rFonts w:ascii="Calibri" w:hAnsi="Calibri"/>
                <w:sz w:val="22"/>
              </w:rPr>
              <w:t>$0.799</w:t>
            </w:r>
          </w:p>
        </w:tc>
        <w:tc>
          <w:tcPr>
            <w:tcW w:type="dxa" w:w="1440"/>
          </w:tcPr>
          <w:p>
            <w:r>
              <w:rPr>
                <w:rFonts w:ascii="Calibri" w:hAnsi="Calibri"/>
                <w:b/>
                <w:color w:val="30A46C"/>
                <w:sz w:val="22"/>
              </w:rPr>
              <w:t>+0.1%</w:t>
            </w:r>
          </w:p>
        </w:tc>
        <w:tc>
          <w:tcPr>
            <w:tcW w:type="dxa" w:w="1440"/>
          </w:tcPr>
          <w:p>
            <w:r>
              <w:rPr>
                <w:rFonts w:ascii="Calibri" w:hAnsi="Calibri"/>
                <w:b/>
                <w:sz w:val="22"/>
              </w:rPr>
              <w:t>Beat</w:t>
            </w:r>
          </w:p>
        </w:tc>
      </w:tr>
    </w:tbl>
    <w:p>
      <w:r>
        <w:rPr>
          <w:rFonts w:ascii="Calibri" w:hAnsi="Calibri"/>
          <w:b/>
          <w:color w:val="525866"/>
          <w:sz w:val="22"/>
        </w:rPr>
        <w:t xml:space="preserve">Pattern: </w:t>
      </w:r>
      <w:r>
        <w:rPr>
          <w:rFonts w:ascii="Calibri" w:hAnsi="Calibri"/>
          <w:color w:val="525866"/>
          <w:sz w:val="22"/>
        </w:rPr>
        <w:t>HAL has beaten revenue consensus in 5 of the last 8 quarters and EPS in 5 of 8, with the most recent three quarters (Q2–Q4 2025 and Q1 2026) all delivering revenue beats. EPS beats have been particularly large in recent quarters (Q4 2025: +25.7%, Q3 2025: +17.9%, Q1 2026: +10.9%), suggesting the Street has been consistently too conservative on cost discipline — a pattern that may persist in Q2 2026 if the Middle East impact comes in at the low end of guidance.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tone has </w:t>
      </w:r>
      <w:r>
        <w:rPr>
          <w:rFonts w:ascii="Calibri" w:hAnsi="Calibri"/>
          <w:b/>
          <w:color w:val="525866"/>
          <w:sz w:val="22"/>
        </w:rPr>
        <w:t>shifted from cautious to selectively bullish</w:t>
      </w:r>
      <w:r>
        <w:rPr>
          <w:rFonts w:ascii="Calibri" w:hAnsi="Calibri"/>
          <w:color w:val="525866"/>
          <w:sz w:val="22"/>
        </w:rPr>
        <w:t xml:space="preserve"> since the Q4 2025 call — the Middle East conflict has paradoxically made HAL more constructive on the medium-term recovery thesis (structural supply tightening, energy security investment) while creating a near-term EPS headwind that is now well-quantified and embedded in guidance.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Baseline (Q4 2025 Call — Jan 21, 2026)</w:t>
            </w:r>
          </w:p>
        </w:tc>
        <w:tc>
          <w:tcPr>
            <w:tcW w:type="dxa" w:w="2160"/>
            <w:shd w:val="clear" w:color="auto" w:fill="3B4259"/>
          </w:tcPr>
          <w:p>
            <w:r>
              <w:rPr>
                <w:rFonts w:ascii="Calibri" w:hAnsi="Calibri"/>
                <w:b/>
                <w:color w:val="FFFFFF"/>
                <w:sz w:val="22"/>
              </w:rPr>
              <w:t>Current (Q1 2026 Call — Apr 21, 2026)</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Middle East / Strait of Hormuz</w:t>
            </w:r>
          </w:p>
        </w:tc>
        <w:tc>
          <w:tcPr>
            <w:tcW w:type="dxa" w:w="2160"/>
          </w:tcPr>
          <w:p>
            <w:r>
              <w:rPr>
                <w:rFonts w:ascii="Calibri" w:hAnsi="Calibri"/>
                <w:sz w:val="22"/>
              </w:rPr>
              <w:t>Flagged as a risk; Saudi and Mexico declines being managed</w:t>
            </w:r>
          </w:p>
        </w:tc>
        <w:tc>
          <w:tcPr>
            <w:tcW w:type="dxa" w:w="2160"/>
          </w:tcPr>
          <w:p>
            <w:r>
              <w:rPr>
                <w:rFonts w:ascii="Calibri" w:hAnsi="Calibri"/>
                <w:sz w:val="22"/>
              </w:rPr>
              <w:t>$0.07–$0.09/sh Q2 EPS headwind explicitly guided; additional $0.03–$0.05 downside if offshore restart delayed; supply chain, logistics, and fuel cost headwinds also flagged</w:t>
            </w:r>
          </w:p>
        </w:tc>
        <w:tc>
          <w:tcPr>
            <w:tcW w:type="dxa" w:w="2160"/>
          </w:tcPr>
          <w:p>
            <w:r>
              <w:rPr>
                <w:rFonts w:ascii="Calibri" w:hAnsi="Calibri"/>
                <w:b/>
                <w:color w:val="E5484D"/>
                <w:sz w:val="22"/>
              </w:rPr>
              <w:t>More Cautious (near-term)</w:t>
            </w:r>
          </w:p>
        </w:tc>
      </w:tr>
      <w:tr>
        <w:tc>
          <w:tcPr>
            <w:tcW w:type="dxa" w:w="2160"/>
          </w:tcPr>
          <w:p>
            <w:r>
              <w:rPr>
                <w:rFonts w:ascii="Calibri" w:hAnsi="Calibri"/>
                <w:sz w:val="22"/>
              </w:rPr>
              <w:t>North America Recovery</w:t>
            </w:r>
          </w:p>
        </w:tc>
        <w:tc>
          <w:tcPr>
            <w:tcW w:type="dxa" w:w="2160"/>
          </w:tcPr>
          <w:p>
            <w:r>
              <w:rPr>
                <w:rFonts w:ascii="Calibri" w:hAnsi="Calibri"/>
                <w:sz w:val="22"/>
              </w:rPr>
              <w:t>2026 framed as a ‘rebalancing year’; activity declining through H1</w:t>
            </w:r>
          </w:p>
        </w:tc>
        <w:tc>
          <w:tcPr>
            <w:tcW w:type="dxa" w:w="2160"/>
          </w:tcPr>
          <w:p>
            <w:r>
              <w:rPr>
                <w:rFonts w:ascii="Calibri" w:hAnsi="Calibri"/>
                <w:sz w:val="22"/>
              </w:rPr>
              <w:t>Frac calendar white space eliminated; uptick in spot work inbound calls; premium equipment tightening; ‘early innings’ of recovery</w:t>
            </w:r>
          </w:p>
        </w:tc>
        <w:tc>
          <w:tcPr>
            <w:tcW w:type="dxa" w:w="2160"/>
          </w:tcPr>
          <w:p>
            <w:r>
              <w:rPr>
                <w:rFonts w:ascii="Calibri" w:hAnsi="Calibri"/>
                <w:b/>
                <w:color w:val="30A46C"/>
                <w:sz w:val="22"/>
              </w:rPr>
              <w:t>More Constructive</w:t>
            </w:r>
          </w:p>
        </w:tc>
      </w:tr>
      <w:tr>
        <w:tc>
          <w:tcPr>
            <w:tcW w:type="dxa" w:w="2160"/>
          </w:tcPr>
          <w:p>
            <w:r>
              <w:rPr>
                <w:rFonts w:ascii="Calibri" w:hAnsi="Calibri"/>
                <w:sz w:val="22"/>
              </w:rPr>
              <w:t>International (ex-ME)</w:t>
            </w:r>
          </w:p>
        </w:tc>
        <w:tc>
          <w:tcPr>
            <w:tcW w:type="dxa" w:w="2160"/>
          </w:tcPr>
          <w:p>
            <w:r>
              <w:rPr>
                <w:rFonts w:ascii="Calibri" w:hAnsi="Calibri"/>
                <w:sz w:val="22"/>
              </w:rPr>
              <w:t>Defensive posture; managing Saudi/Mexico declines</w:t>
            </w:r>
          </w:p>
        </w:tc>
        <w:tc>
          <w:tcPr>
            <w:tcW w:type="dxa" w:w="2160"/>
          </w:tcPr>
          <w:p>
            <w:r>
              <w:rPr>
                <w:rFonts w:ascii="Calibri" w:hAnsi="Calibri"/>
                <w:sz w:val="22"/>
              </w:rPr>
              <w:t>Mid-to-high single digit YoY growth guided for full year; Latin America leading; YPF Argentina multibillion-dollar contract won (first international ZEUS deployment)</w:t>
            </w:r>
          </w:p>
        </w:tc>
        <w:tc>
          <w:tcPr>
            <w:tcW w:type="dxa" w:w="2160"/>
          </w:tcPr>
          <w:p>
            <w:r>
              <w:rPr>
                <w:rFonts w:ascii="Calibri" w:hAnsi="Calibri"/>
                <w:b/>
                <w:color w:val="30A46C"/>
                <w:sz w:val="22"/>
              </w:rPr>
              <w:t>More Constructive</w:t>
            </w:r>
          </w:p>
        </w:tc>
      </w:tr>
      <w:tr>
        <w:tc>
          <w:tcPr>
            <w:tcW w:type="dxa" w:w="2160"/>
          </w:tcPr>
          <w:p>
            <w:r>
              <w:rPr>
                <w:rFonts w:ascii="Calibri" w:hAnsi="Calibri"/>
                <w:sz w:val="22"/>
              </w:rPr>
              <w:t>C&amp;P Division</w:t>
            </w:r>
          </w:p>
        </w:tc>
        <w:tc>
          <w:tcPr>
            <w:tcW w:type="dxa" w:w="2160"/>
          </w:tcPr>
          <w:p>
            <w:r>
              <w:rPr>
                <w:rFonts w:ascii="Calibri" w:hAnsi="Calibri"/>
                <w:sz w:val="22"/>
              </w:rPr>
              <w:t>Margin pressure expected in H1 2026</w:t>
            </w:r>
          </w:p>
        </w:tc>
        <w:tc>
          <w:tcPr>
            <w:tcW w:type="dxa" w:w="2160"/>
          </w:tcPr>
          <w:p>
            <w:r>
              <w:rPr>
                <w:rFonts w:ascii="Calibri" w:hAnsi="Calibri"/>
                <w:sz w:val="22"/>
              </w:rPr>
              <w:t>Q2 guided +4–6% sequential revenue; margins +50–100 bps sequential</w:t>
            </w:r>
          </w:p>
        </w:tc>
        <w:tc>
          <w:tcPr>
            <w:tcW w:type="dxa" w:w="2160"/>
          </w:tcPr>
          <w:p>
            <w:r>
              <w:rPr>
                <w:rFonts w:ascii="Calibri" w:hAnsi="Calibri"/>
                <w:b/>
                <w:color w:val="30A46C"/>
                <w:sz w:val="22"/>
              </w:rPr>
              <w:t>Improving</w:t>
            </w:r>
          </w:p>
        </w:tc>
      </w:tr>
      <w:tr>
        <w:tc>
          <w:tcPr>
            <w:tcW w:type="dxa" w:w="2160"/>
          </w:tcPr>
          <w:p>
            <w:r>
              <w:rPr>
                <w:rFonts w:ascii="Calibri" w:hAnsi="Calibri"/>
                <w:sz w:val="22"/>
              </w:rPr>
              <w:t>D&amp;E Division</w:t>
            </w:r>
          </w:p>
        </w:tc>
        <w:tc>
          <w:tcPr>
            <w:tcW w:type="dxa" w:w="2160"/>
          </w:tcPr>
          <w:p>
            <w:r>
              <w:rPr>
                <w:rFonts w:ascii="Calibri" w:hAnsi="Calibri"/>
                <w:sz w:val="22"/>
              </w:rPr>
              <w:t>Seasonal software roll-off expected in Q2</w:t>
            </w:r>
          </w:p>
        </w:tc>
        <w:tc>
          <w:tcPr>
            <w:tcW w:type="dxa" w:w="2160"/>
          </w:tcPr>
          <w:p>
            <w:r>
              <w:rPr>
                <w:rFonts w:ascii="Calibri" w:hAnsi="Calibri"/>
                <w:sz w:val="22"/>
              </w:rPr>
              <w:t>Q2 guided flat to −2% sequential revenue; margins −75 to −125 bps sequential (software roll-off confirmed)</w:t>
            </w:r>
          </w:p>
        </w:tc>
        <w:tc>
          <w:tcPr>
            <w:tcW w:type="dxa" w:w="2160"/>
          </w:tcPr>
          <w:p>
            <w:r>
              <w:rPr>
                <w:rFonts w:ascii="Calibri" w:hAnsi="Calibri"/>
                <w:b/>
                <w:color w:val="E5484D"/>
                <w:sz w:val="22"/>
              </w:rPr>
              <w:t>Unchanged / Slightly Worse</w:t>
            </w:r>
          </w:p>
        </w:tc>
      </w:tr>
      <w:tr>
        <w:tc>
          <w:tcPr>
            <w:tcW w:type="dxa" w:w="2160"/>
          </w:tcPr>
          <w:p>
            <w:r>
              <w:rPr>
                <w:rFonts w:ascii="Calibri" w:hAnsi="Calibri"/>
                <w:sz w:val="22"/>
              </w:rPr>
              <w:t>Capital Allocation</w:t>
            </w:r>
          </w:p>
        </w:tc>
        <w:tc>
          <w:tcPr>
            <w:tcW w:type="dxa" w:w="2160"/>
          </w:tcPr>
          <w:p>
            <w:r>
              <w:rPr>
                <w:rFonts w:ascii="Calibri" w:hAnsi="Calibri"/>
                <w:sz w:val="22"/>
              </w:rPr>
              <w:t>Conservative buyback pace in H1; acceleration expected in H2</w:t>
            </w:r>
          </w:p>
        </w:tc>
        <w:tc>
          <w:tcPr>
            <w:tcW w:type="dxa" w:w="2160"/>
          </w:tcPr>
          <w:p>
            <w:r>
              <w:rPr>
                <w:rFonts w:ascii="Calibri" w:hAnsi="Calibri"/>
                <w:sz w:val="22"/>
              </w:rPr>
              <w:t>Full-year CapEx ~$1.1B (low end of 5–6% of revenue range); VoltaGrid CapEx excluded from 2026 guidance; buyback pacing lower in H1 with H2 acceleration reiterated</w:t>
            </w:r>
          </w:p>
        </w:tc>
        <w:tc>
          <w:tcPr>
            <w:tcW w:type="dxa" w:w="2160"/>
          </w:tcPr>
          <w:p>
            <w:r>
              <w:rPr>
                <w:rFonts w:ascii="Calibri" w:hAnsi="Calibri"/>
                <w:b/>
                <w:color w:val="002FA7"/>
                <w:sz w:val="22"/>
              </w:rPr>
              <w:t>Unchanged</w:t>
            </w:r>
          </w:p>
        </w:tc>
      </w:tr>
      <w:tr>
        <w:tc>
          <w:tcPr>
            <w:tcW w:type="dxa" w:w="2160"/>
          </w:tcPr>
          <w:p>
            <w:r>
              <w:rPr>
                <w:rFonts w:ascii="Calibri" w:hAnsi="Calibri"/>
                <w:sz w:val="22"/>
              </w:rPr>
              <w:t>Venezuela</w:t>
            </w:r>
          </w:p>
        </w:tc>
        <w:tc>
          <w:tcPr>
            <w:tcW w:type="dxa" w:w="2160"/>
          </w:tcPr>
          <w:p>
            <w:r>
              <w:rPr>
                <w:rFonts w:ascii="Calibri" w:hAnsi="Calibri"/>
                <w:sz w:val="22"/>
              </w:rPr>
              <w:t>‘Early steps underway’</w:t>
            </w:r>
          </w:p>
        </w:tc>
        <w:tc>
          <w:tcPr>
            <w:tcW w:type="dxa" w:w="2160"/>
          </w:tcPr>
          <w:p>
            <w:r>
              <w:rPr>
                <w:rFonts w:ascii="Calibri" w:hAnsi="Calibri"/>
                <w:sz w:val="22"/>
              </w:rPr>
              <w:t>CEO personally visited facilities (better shape than expected); active commercial term discussions; significant inbound interest; progressing toward mobilization</w:t>
            </w:r>
          </w:p>
        </w:tc>
        <w:tc>
          <w:tcPr>
            <w:tcW w:type="dxa" w:w="2160"/>
          </w:tcPr>
          <w:p>
            <w:r>
              <w:rPr>
                <w:rFonts w:ascii="Calibri" w:hAnsi="Calibri"/>
                <w:b/>
                <w:color w:val="30A46C"/>
                <w:sz w:val="22"/>
              </w:rPr>
              <w:t>More Constructive</w:t>
            </w:r>
          </w:p>
        </w:tc>
      </w:tr>
      <w:tr>
        <w:tc>
          <w:tcPr>
            <w:tcW w:type="dxa" w:w="2160"/>
          </w:tcPr>
          <w:p>
            <w:r>
              <w:rPr>
                <w:rFonts w:ascii="Calibri" w:hAnsi="Calibri"/>
                <w:sz w:val="22"/>
              </w:rPr>
              <w:t>Technology / VoltaGrid</w:t>
            </w:r>
          </w:p>
        </w:tc>
        <w:tc>
          <w:tcPr>
            <w:tcW w:type="dxa" w:w="2160"/>
          </w:tcPr>
          <w:p>
            <w:r>
              <w:rPr>
                <w:rFonts w:ascii="Calibri" w:hAnsi="Calibri"/>
                <w:sz w:val="22"/>
              </w:rPr>
              <w:t>VoltaGrid partnership announced; international expansion pipeline</w:t>
            </w:r>
          </w:p>
        </w:tc>
        <w:tc>
          <w:tcPr>
            <w:tcW w:type="dxa" w:w="2160"/>
          </w:tcPr>
          <w:p>
            <w:r>
              <w:rPr>
                <w:rFonts w:ascii="Calibri" w:hAnsi="Calibri"/>
                <w:sz w:val="22"/>
              </w:rPr>
              <w:t>Manufacturing capacity secured for Eastern Hemisphere (Australia, Japan, Canada) for 2028 delivery; inbound interest strong; CapEx not in 2026 guidance</w:t>
            </w:r>
          </w:p>
        </w:tc>
        <w:tc>
          <w:tcPr>
            <w:tcW w:type="dxa" w:w="2160"/>
          </w:tcPr>
          <w:p>
            <w:r>
              <w:rPr>
                <w:rFonts w:ascii="Calibri" w:hAnsi="Calibri"/>
                <w:b/>
                <w:color w:val="30A46C"/>
                <w:sz w:val="22"/>
              </w:rPr>
              <w:t>More Constructive</w:t>
            </w:r>
          </w:p>
        </w:tc>
      </w:tr>
    </w:tbl>
    <w:p>
      <w:r>
        <w:rPr>
          <w:rFonts w:ascii="Calibri" w:hAnsi="Calibri"/>
          <w:i/>
          <w:color w:val="525866"/>
          <w:sz w:val="22"/>
        </w:rPr>
        <w:t>Source: HAL Q1 2026 Earnings Call Transcript (April 21, 2026); HAL Q4 2025 Earnings Call Transcript (January 21, 2026).</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 revisions have been </w:t>
      </w:r>
      <w:r>
        <w:rPr>
          <w:rFonts w:ascii="Calibri" w:hAnsi="Calibri"/>
          <w:b/>
          <w:color w:val="525866"/>
          <w:sz w:val="22"/>
        </w:rPr>
        <w:t>modestly negative but orderly</w:t>
      </w:r>
      <w:r>
        <w:rPr>
          <w:rFonts w:ascii="Calibri" w:hAnsi="Calibri"/>
          <w:color w:val="525866"/>
          <w:sz w:val="22"/>
        </w:rPr>
        <w:t xml:space="preserve"> since the Q1 2026 print — the Street absorbed the Middle East headwind without a dramatic reset, suggesting consensus already reflects the worst-case scenario embedded in management’s guidance; any upside surprise on the Middle East restart timeline could drive meaningful positive revision momentum.</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Consensus at Q1 Earnings (Apr 28, 2026)</w:t>
            </w:r>
          </w:p>
        </w:tc>
        <w:tc>
          <w:tcPr>
            <w:tcW w:type="dxa" w:w="1440"/>
            <w:shd w:val="clear" w:color="auto" w:fill="3B4259"/>
          </w:tcPr>
          <w:p>
            <w:r>
              <w:rPr>
                <w:rFonts w:ascii="Calibri" w:hAnsi="Calibri"/>
                <w:b/>
                <w:color w:val="FFFFFF"/>
                <w:sz w:val="22"/>
              </w:rPr>
              <w:t>Current Consensus (Jul 20, 2026)</w:t>
            </w:r>
          </w:p>
        </w:tc>
        <w:tc>
          <w:tcPr>
            <w:tcW w:type="dxa" w:w="1440"/>
            <w:shd w:val="clear" w:color="auto" w:fill="3B4259"/>
          </w:tcPr>
          <w:p>
            <w:r>
              <w:rPr>
                <w:rFonts w:ascii="Calibri" w:hAnsi="Calibri"/>
                <w:b/>
                <w:color w:val="FFFFFF"/>
                <w:sz w:val="22"/>
              </w:rPr>
              <w:t>Change ($)</w:t>
            </w:r>
          </w:p>
        </w:tc>
        <w:tc>
          <w:tcPr>
            <w:tcW w:type="dxa" w:w="1440"/>
            <w:shd w:val="clear" w:color="auto" w:fill="3B4259"/>
          </w:tcPr>
          <w:p>
            <w:r>
              <w:rPr>
                <w:rFonts w:ascii="Calibri" w:hAnsi="Calibri"/>
                <w:b/>
                <w:color w:val="FFFFFF"/>
                <w:sz w:val="22"/>
              </w:rPr>
              <w:t>Change (%)</w:t>
            </w:r>
          </w:p>
        </w:tc>
        <w:tc>
          <w:tcPr>
            <w:tcW w:type="dxa" w:w="1440"/>
            <w:shd w:val="clear" w:color="auto" w:fill="3B4259"/>
          </w:tcPr>
          <w:p>
            <w:r>
              <w:rPr>
                <w:rFonts w:ascii="Calibri" w:hAnsi="Calibri"/>
                <w:b/>
                <w:color w:val="FFFFFF"/>
                <w:sz w:val="22"/>
              </w:rPr>
              <w:t>Direction</w:t>
            </w:r>
          </w:p>
        </w:tc>
      </w:tr>
      <w:tr>
        <w:tc>
          <w:tcPr>
            <w:tcW w:type="dxa" w:w="1440"/>
          </w:tcPr>
          <w:p>
            <w:r>
              <w:rPr>
                <w:rFonts w:ascii="Calibri" w:hAnsi="Calibri"/>
                <w:sz w:val="22"/>
              </w:rPr>
              <w:t>Q2 2026 Revenue</w:t>
            </w:r>
          </w:p>
        </w:tc>
        <w:tc>
          <w:tcPr>
            <w:tcW w:type="dxa" w:w="1440"/>
          </w:tcPr>
          <w:p>
            <w:r>
              <w:rPr>
                <w:rFonts w:ascii="Calibri" w:hAnsi="Calibri"/>
                <w:sz w:val="22"/>
              </w:rPr>
              <w:t>$5.522B</w:t>
            </w:r>
          </w:p>
        </w:tc>
        <w:tc>
          <w:tcPr>
            <w:tcW w:type="dxa" w:w="1440"/>
          </w:tcPr>
          <w:p>
            <w:r>
              <w:rPr>
                <w:rFonts w:ascii="Calibri" w:hAnsi="Calibri"/>
                <w:sz w:val="22"/>
              </w:rPr>
              <w:t>$5.514B</w:t>
            </w:r>
          </w:p>
        </w:tc>
        <w:tc>
          <w:tcPr>
            <w:tcW w:type="dxa" w:w="1440"/>
          </w:tcPr>
          <w:p>
            <w:r>
              <w:rPr>
                <w:rFonts w:ascii="Calibri" w:hAnsi="Calibri"/>
                <w:sz w:val="22"/>
              </w:rPr>
              <w:t>−$8M</w:t>
            </w:r>
          </w:p>
        </w:tc>
        <w:tc>
          <w:tcPr>
            <w:tcW w:type="dxa" w:w="1440"/>
          </w:tcPr>
          <w:p>
            <w:r>
              <w:rPr>
                <w:rFonts w:ascii="Calibri" w:hAnsi="Calibri"/>
                <w:b/>
                <w:color w:val="E5484D"/>
                <w:sz w:val="22"/>
              </w:rPr>
              <w:t>−0.1%</w:t>
            </w:r>
          </w:p>
        </w:tc>
        <w:tc>
          <w:tcPr>
            <w:tcW w:type="dxa" w:w="1440"/>
          </w:tcPr>
          <w:p>
            <w:r>
              <w:rPr>
                <w:rFonts w:ascii="Calibri" w:hAnsi="Calibri"/>
                <w:sz w:val="22"/>
              </w:rPr>
              <w:t>Slight downward revision</w:t>
            </w:r>
          </w:p>
        </w:tc>
      </w:tr>
      <w:tr>
        <w:tc>
          <w:tcPr>
            <w:tcW w:type="dxa" w:w="1440"/>
          </w:tcPr>
          <w:p>
            <w:r>
              <w:rPr>
                <w:rFonts w:ascii="Calibri" w:hAnsi="Calibri"/>
                <w:sz w:val="22"/>
              </w:rPr>
              <w:t>Q2 2026 EPS (Diluted Op.)</w:t>
            </w:r>
          </w:p>
        </w:tc>
        <w:tc>
          <w:tcPr>
            <w:tcW w:type="dxa" w:w="1440"/>
          </w:tcPr>
          <w:p>
            <w:r>
              <w:rPr>
                <w:rFonts w:ascii="Calibri" w:hAnsi="Calibri"/>
                <w:sz w:val="22"/>
              </w:rPr>
              <w:t>$0.542</w:t>
            </w:r>
          </w:p>
        </w:tc>
        <w:tc>
          <w:tcPr>
            <w:tcW w:type="dxa" w:w="1440"/>
          </w:tcPr>
          <w:p>
            <w:r>
              <w:rPr>
                <w:rFonts w:ascii="Calibri" w:hAnsi="Calibri"/>
                <w:sz w:val="22"/>
              </w:rPr>
              <w:t>$0.541</w:t>
            </w:r>
          </w:p>
        </w:tc>
        <w:tc>
          <w:tcPr>
            <w:tcW w:type="dxa" w:w="1440"/>
          </w:tcPr>
          <w:p>
            <w:r>
              <w:rPr>
                <w:rFonts w:ascii="Calibri" w:hAnsi="Calibri"/>
                <w:sz w:val="22"/>
              </w:rPr>
              <w:t>−$0.001</w:t>
            </w:r>
          </w:p>
        </w:tc>
        <w:tc>
          <w:tcPr>
            <w:tcW w:type="dxa" w:w="1440"/>
          </w:tcPr>
          <w:p>
            <w:r>
              <w:rPr>
                <w:rFonts w:ascii="Calibri" w:hAnsi="Calibri"/>
                <w:b/>
                <w:color w:val="E5484D"/>
                <w:sz w:val="22"/>
              </w:rPr>
              <w:t>−0.2%</w:t>
            </w:r>
          </w:p>
        </w:tc>
        <w:tc>
          <w:tcPr>
            <w:tcW w:type="dxa" w:w="1440"/>
          </w:tcPr>
          <w:p>
            <w:r>
              <w:rPr>
                <w:rFonts w:ascii="Calibri" w:hAnsi="Calibri"/>
                <w:sz w:val="22"/>
              </w:rPr>
              <w:t>Essentially flat</w:t>
            </w:r>
          </w:p>
        </w:tc>
      </w:tr>
      <w:tr>
        <w:tc>
          <w:tcPr>
            <w:tcW w:type="dxa" w:w="1440"/>
          </w:tcPr>
          <w:p>
            <w:r>
              <w:rPr>
                <w:rFonts w:ascii="Calibri" w:hAnsi="Calibri"/>
                <w:sz w:val="22"/>
              </w:rPr>
              <w:t>FY 2026 Revenue</w:t>
            </w:r>
          </w:p>
        </w:tc>
        <w:tc>
          <w:tcPr>
            <w:tcW w:type="dxa" w:w="1440"/>
          </w:tcPr>
          <w:p>
            <w:r>
              <w:rPr>
                <w:rFonts w:ascii="Calibri" w:hAnsi="Calibri"/>
                <w:sz w:val="22"/>
              </w:rPr>
              <w:t>$22.23B</w:t>
            </w:r>
          </w:p>
        </w:tc>
        <w:tc>
          <w:tcPr>
            <w:tcW w:type="dxa" w:w="1440"/>
          </w:tcPr>
          <w:p>
            <w:r>
              <w:rPr>
                <w:rFonts w:ascii="Calibri" w:hAnsi="Calibri"/>
                <w:sz w:val="22"/>
              </w:rPr>
              <w:t>$22.33B</w:t>
            </w:r>
          </w:p>
        </w:tc>
        <w:tc>
          <w:tcPr>
            <w:tcW w:type="dxa" w:w="1440"/>
          </w:tcPr>
          <w:p>
            <w:r>
              <w:rPr>
                <w:rFonts w:ascii="Calibri" w:hAnsi="Calibri"/>
                <w:sz w:val="22"/>
              </w:rPr>
              <w:t>+$100M</w:t>
            </w:r>
          </w:p>
        </w:tc>
        <w:tc>
          <w:tcPr>
            <w:tcW w:type="dxa" w:w="1440"/>
          </w:tcPr>
          <w:p>
            <w:r>
              <w:rPr>
                <w:rFonts w:ascii="Calibri" w:hAnsi="Calibri"/>
                <w:b/>
                <w:color w:val="30A46C"/>
                <w:sz w:val="22"/>
              </w:rPr>
              <w:t>+0.5%</w:t>
            </w:r>
          </w:p>
        </w:tc>
        <w:tc>
          <w:tcPr>
            <w:tcW w:type="dxa" w:w="1440"/>
          </w:tcPr>
          <w:p>
            <w:r>
              <w:rPr>
                <w:rFonts w:ascii="Calibri" w:hAnsi="Calibri"/>
                <w:sz w:val="22"/>
              </w:rPr>
              <w:t>Slight upward revision</w:t>
            </w:r>
          </w:p>
        </w:tc>
      </w:tr>
      <w:tr>
        <w:tc>
          <w:tcPr>
            <w:tcW w:type="dxa" w:w="1440"/>
          </w:tcPr>
          <w:p>
            <w:r>
              <w:rPr>
                <w:rFonts w:ascii="Calibri" w:hAnsi="Calibri"/>
                <w:sz w:val="22"/>
              </w:rPr>
              <w:t>FY 2026 EPS (Diluted Op.)</w:t>
            </w:r>
          </w:p>
        </w:tc>
        <w:tc>
          <w:tcPr>
            <w:tcW w:type="dxa" w:w="1440"/>
          </w:tcPr>
          <w:p>
            <w:r>
              <w:rPr>
                <w:rFonts w:ascii="Calibri" w:hAnsi="Calibri"/>
                <w:sz w:val="22"/>
              </w:rPr>
              <w:t>$2.336</w:t>
            </w:r>
          </w:p>
        </w:tc>
        <w:tc>
          <w:tcPr>
            <w:tcW w:type="dxa" w:w="1440"/>
          </w:tcPr>
          <w:p>
            <w:r>
              <w:rPr>
                <w:rFonts w:ascii="Calibri" w:hAnsi="Calibri"/>
                <w:sz w:val="22"/>
              </w:rPr>
              <w:t>$2.354</w:t>
            </w:r>
          </w:p>
        </w:tc>
        <w:tc>
          <w:tcPr>
            <w:tcW w:type="dxa" w:w="1440"/>
          </w:tcPr>
          <w:p>
            <w:r>
              <w:rPr>
                <w:rFonts w:ascii="Calibri" w:hAnsi="Calibri"/>
                <w:sz w:val="22"/>
              </w:rPr>
              <w:t>+$0.018</w:t>
            </w:r>
          </w:p>
        </w:tc>
        <w:tc>
          <w:tcPr>
            <w:tcW w:type="dxa" w:w="1440"/>
          </w:tcPr>
          <w:p>
            <w:r>
              <w:rPr>
                <w:rFonts w:ascii="Calibri" w:hAnsi="Calibri"/>
                <w:b/>
                <w:color w:val="30A46C"/>
                <w:sz w:val="22"/>
              </w:rPr>
              <w:t>+0.8%</w:t>
            </w:r>
          </w:p>
        </w:tc>
        <w:tc>
          <w:tcPr>
            <w:tcW w:type="dxa" w:w="1440"/>
          </w:tcPr>
          <w:p>
            <w:r>
              <w:rPr>
                <w:rFonts w:ascii="Calibri" w:hAnsi="Calibri"/>
                <w:sz w:val="22"/>
              </w:rPr>
              <w:t>Slight upward revision</w:t>
            </w:r>
          </w:p>
        </w:tc>
      </w:tr>
      <w:tr>
        <w:tc>
          <w:tcPr>
            <w:tcW w:type="dxa" w:w="1440"/>
          </w:tcPr>
          <w:p>
            <w:r>
              <w:rPr>
                <w:rFonts w:ascii="Calibri" w:hAnsi="Calibri"/>
                <w:sz w:val="22"/>
              </w:rPr>
              <w:t>FY 2026 EBITDA (Op.)</w:t>
            </w:r>
          </w:p>
        </w:tc>
        <w:tc>
          <w:tcPr>
            <w:tcW w:type="dxa" w:w="1440"/>
          </w:tcPr>
          <w:p>
            <w:r>
              <w:rPr>
                <w:rFonts w:ascii="Calibri" w:hAnsi="Calibri"/>
                <w:sz w:val="22"/>
              </w:rPr>
              <w:t>$4.089B</w:t>
            </w:r>
          </w:p>
        </w:tc>
        <w:tc>
          <w:tcPr>
            <w:tcW w:type="dxa" w:w="1440"/>
          </w:tcPr>
          <w:p>
            <w:r>
              <w:rPr>
                <w:rFonts w:ascii="Calibri" w:hAnsi="Calibri"/>
                <w:sz w:val="22"/>
              </w:rPr>
              <w:t>$4.118B</w:t>
            </w:r>
          </w:p>
        </w:tc>
        <w:tc>
          <w:tcPr>
            <w:tcW w:type="dxa" w:w="1440"/>
          </w:tcPr>
          <w:p>
            <w:r>
              <w:rPr>
                <w:rFonts w:ascii="Calibri" w:hAnsi="Calibri"/>
                <w:sz w:val="22"/>
              </w:rPr>
              <w:t>+$29M</w:t>
            </w:r>
          </w:p>
        </w:tc>
        <w:tc>
          <w:tcPr>
            <w:tcW w:type="dxa" w:w="1440"/>
          </w:tcPr>
          <w:p>
            <w:r>
              <w:rPr>
                <w:rFonts w:ascii="Calibri" w:hAnsi="Calibri"/>
                <w:b/>
                <w:color w:val="30A46C"/>
                <w:sz w:val="22"/>
              </w:rPr>
              <w:t>+0.7%</w:t>
            </w:r>
          </w:p>
        </w:tc>
        <w:tc>
          <w:tcPr>
            <w:tcW w:type="dxa" w:w="1440"/>
          </w:tcPr>
          <w:p>
            <w:r>
              <w:rPr>
                <w:rFonts w:ascii="Calibri" w:hAnsi="Calibri"/>
                <w:sz w:val="22"/>
              </w:rPr>
              <w:t>Slight upward revision</w:t>
            </w:r>
          </w:p>
        </w:tc>
      </w:tr>
    </w:tbl>
    <w:p>
      <w:r>
        <w:rPr>
          <w:rFonts w:ascii="Calibri" w:hAnsi="Calibri"/>
          <w:i/>
          <w:color w:val="525866"/>
          <w:sz w:val="22"/>
        </w:rPr>
        <w:t>Source: Visible Alpha Consensus and Actuals Data. ‘At Q1 Earnings’ snapshot as of April 28, 2026 (one week post-print). Current consensus as of July 20, 2026.</w:t>
      </w:r>
    </w:p>
    <w:p>
      <w:r>
        <w:rPr>
          <w:rFonts w:ascii="Calibri" w:hAnsi="Calibri"/>
          <w:b/>
          <w:color w:val="525866"/>
          <w:sz w:val="22"/>
        </w:rPr>
        <w:t xml:space="preserve">Commentary: </w:t>
      </w:r>
      <w:r>
        <w:rPr>
          <w:rFonts w:ascii="Calibri" w:hAnsi="Calibri"/>
          <w:color w:val="525866"/>
          <w:sz w:val="22"/>
        </w:rPr>
        <w:t>The near-flat revision trajectory across all key metrics since the Q1 print is notable — it suggests the Street has fully priced in the Middle East headwind as guided, and is not making incremental negative assumptions. The slight upward drift in full-year EPS and EBITDA estimates (despite the Q2 headwind) implies analysts expect H2 2026 to recover as the Middle East situation normalizes and North America pricing inflects. This creates an asymmetric setup: if Q2 comes in at the low end of guidance (Middle East worse than expected), the full-year estimate reset could be meaningful; if Q2 beats on Middle East recovery, the full-year numbers move up and the stock re-rates.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HAL has </w:t>
      </w:r>
      <w:r>
        <w:rPr>
          <w:rFonts w:ascii="Calibri" w:hAnsi="Calibri"/>
          <w:b/>
          <w:color w:val="525866"/>
          <w:sz w:val="22"/>
        </w:rPr>
        <w:t>significantly underperformed both the S&amp;P 500 and the OIH oil services ETF</w:t>
      </w:r>
      <w:r>
        <w:rPr>
          <w:rFonts w:ascii="Calibri" w:hAnsi="Calibri"/>
          <w:color w:val="525866"/>
          <w:sz w:val="22"/>
        </w:rPr>
        <w:t xml:space="preserve"> since Q1 2026 earnings, falling ~8% vs. OIH −18% and SPY +5% — the stock is not pricing in a beat, and at ~$35 trades near its post-earnings trough, suggesting limited downside from multiple compression but meaningful upside optionality if the Middle East narrative inflects.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HAL vs. OIH (Oil Services ETF) vs. S&amp;P 500 (SPY) — Indexed to 100 at Q1 2026 Earnings (April 21, 2026). Source: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HAL</w:t>
            </w:r>
          </w:p>
        </w:tc>
        <w:tc>
          <w:tcPr>
            <w:tcW w:type="dxa" w:w="2160"/>
            <w:shd w:val="clear" w:color="auto" w:fill="3B4259"/>
          </w:tcPr>
          <w:p>
            <w:r>
              <w:rPr>
                <w:rFonts w:ascii="Calibri" w:hAnsi="Calibri"/>
                <w:b/>
                <w:color w:val="FFFFFF"/>
                <w:sz w:val="22"/>
              </w:rPr>
              <w:t>OIH (Oil Services ETF)</w:t>
            </w:r>
          </w:p>
        </w:tc>
        <w:tc>
          <w:tcPr>
            <w:tcW w:type="dxa" w:w="2160"/>
            <w:shd w:val="clear" w:color="auto" w:fill="3B4259"/>
          </w:tcPr>
          <w:p>
            <w:r>
              <w:rPr>
                <w:rFonts w:ascii="Calibri" w:hAnsi="Calibri"/>
                <w:b/>
                <w:color w:val="FFFFFF"/>
                <w:sz w:val="22"/>
              </w:rPr>
              <w:t>SPY (S&amp;P 500)</w:t>
            </w:r>
          </w:p>
        </w:tc>
      </w:tr>
      <w:tr>
        <w:tc>
          <w:tcPr>
            <w:tcW w:type="dxa" w:w="2160"/>
          </w:tcPr>
          <w:p>
            <w:r>
              <w:rPr>
                <w:rFonts w:ascii="Calibri" w:hAnsi="Calibri"/>
                <w:sz w:val="22"/>
              </w:rPr>
              <w:t>Price at Q1 Earnings (Apr 21, 2026)</w:t>
            </w:r>
          </w:p>
        </w:tc>
        <w:tc>
          <w:tcPr>
            <w:tcW w:type="dxa" w:w="2160"/>
          </w:tcPr>
          <w:p>
            <w:r>
              <w:rPr>
                <w:rFonts w:ascii="Calibri" w:hAnsi="Calibri"/>
                <w:sz w:val="22"/>
              </w:rPr>
              <w:t>$38.15</w:t>
            </w:r>
          </w:p>
        </w:tc>
        <w:tc>
          <w:tcPr>
            <w:tcW w:type="dxa" w:w="2160"/>
          </w:tcPr>
          <w:p>
            <w:r>
              <w:rPr>
                <w:rFonts w:ascii="Calibri" w:hAnsi="Calibri"/>
                <w:sz w:val="22"/>
              </w:rPr>
              <w:t>$408.60</w:t>
            </w:r>
          </w:p>
        </w:tc>
        <w:tc>
          <w:tcPr>
            <w:tcW w:type="dxa" w:w="2160"/>
          </w:tcPr>
          <w:p>
            <w:r>
              <w:rPr>
                <w:rFonts w:ascii="Calibri" w:hAnsi="Calibri"/>
                <w:sz w:val="22"/>
              </w:rPr>
              <w:t>$704.08</w:t>
            </w:r>
          </w:p>
        </w:tc>
      </w:tr>
      <w:tr>
        <w:tc>
          <w:tcPr>
            <w:tcW w:type="dxa" w:w="2160"/>
          </w:tcPr>
          <w:p>
            <w:r>
              <w:rPr>
                <w:rFonts w:ascii="Calibri" w:hAnsi="Calibri"/>
                <w:sz w:val="22"/>
              </w:rPr>
              <w:t>Peak Since Q1 Earnings</w:t>
            </w:r>
          </w:p>
        </w:tc>
        <w:tc>
          <w:tcPr>
            <w:tcW w:type="dxa" w:w="2160"/>
          </w:tcPr>
          <w:p>
            <w:r>
              <w:rPr>
                <w:rFonts w:ascii="Calibri" w:hAnsi="Calibri"/>
                <w:sz w:val="22"/>
              </w:rPr>
              <w:t>$42.98 (May 19, 2026)</w:t>
            </w:r>
          </w:p>
        </w:tc>
        <w:tc>
          <w:tcPr>
            <w:tcW w:type="dxa" w:w="2160"/>
          </w:tcPr>
          <w:p>
            <w:r>
              <w:rPr>
                <w:rFonts w:ascii="Calibri" w:hAnsi="Calibri"/>
                <w:sz w:val="22"/>
              </w:rPr>
              <w:t>$453.92 (May 18, 2026)</w:t>
            </w:r>
          </w:p>
        </w:tc>
        <w:tc>
          <w:tcPr>
            <w:tcW w:type="dxa" w:w="2160"/>
          </w:tcPr>
          <w:p>
            <w:r>
              <w:rPr>
                <w:rFonts w:ascii="Calibri" w:hAnsi="Calibri"/>
                <w:sz w:val="22"/>
              </w:rPr>
              <w:t>~$756 (May 29, 2026)</w:t>
            </w:r>
          </w:p>
        </w:tc>
      </w:tr>
      <w:tr>
        <w:tc>
          <w:tcPr>
            <w:tcW w:type="dxa" w:w="2160"/>
          </w:tcPr>
          <w:p>
            <w:r>
              <w:rPr>
                <w:rFonts w:ascii="Calibri" w:hAnsi="Calibri"/>
                <w:sz w:val="22"/>
              </w:rPr>
              <w:t>Trough Since Q1 Earnings</w:t>
            </w:r>
          </w:p>
        </w:tc>
        <w:tc>
          <w:tcPr>
            <w:tcW w:type="dxa" w:w="2160"/>
          </w:tcPr>
          <w:p>
            <w:r>
              <w:rPr>
                <w:rFonts w:ascii="Calibri" w:hAnsi="Calibri"/>
                <w:sz w:val="22"/>
              </w:rPr>
              <w:t>$32.96 (Jul 2, 2026)</w:t>
            </w:r>
          </w:p>
        </w:tc>
        <w:tc>
          <w:tcPr>
            <w:tcW w:type="dxa" w:w="2160"/>
          </w:tcPr>
          <w:p>
            <w:r>
              <w:rPr>
                <w:rFonts w:ascii="Calibri" w:hAnsi="Calibri"/>
                <w:sz w:val="22"/>
              </w:rPr>
              <w:t>$359.60 (Jul 2, 2026)</w:t>
            </w:r>
          </w:p>
        </w:tc>
        <w:tc>
          <w:tcPr>
            <w:tcW w:type="dxa" w:w="2160"/>
          </w:tcPr>
          <w:p>
            <w:r>
              <w:rPr>
                <w:rFonts w:ascii="Calibri" w:hAnsi="Calibri"/>
                <w:sz w:val="22"/>
              </w:rPr>
              <w:t>~$725 (Jun 10, 2026)</w:t>
            </w:r>
          </w:p>
        </w:tc>
      </w:tr>
      <w:tr>
        <w:tc>
          <w:tcPr>
            <w:tcW w:type="dxa" w:w="2160"/>
          </w:tcPr>
          <w:p>
            <w:r>
              <w:rPr>
                <w:rFonts w:ascii="Calibri" w:hAnsi="Calibri"/>
                <w:sz w:val="22"/>
              </w:rPr>
              <w:t>Current Price (Jul 20, 2026)</w:t>
            </w:r>
          </w:p>
        </w:tc>
        <w:tc>
          <w:tcPr>
            <w:tcW w:type="dxa" w:w="2160"/>
          </w:tcPr>
          <w:p>
            <w:r>
              <w:rPr>
                <w:rFonts w:ascii="Calibri" w:hAnsi="Calibri"/>
                <w:sz w:val="22"/>
              </w:rPr>
              <w:t>$35.11</w:t>
            </w:r>
          </w:p>
        </w:tc>
        <w:tc>
          <w:tcPr>
            <w:tcW w:type="dxa" w:w="2160"/>
          </w:tcPr>
          <w:p>
            <w:r>
              <w:rPr>
                <w:rFonts w:ascii="Calibri" w:hAnsi="Calibri"/>
                <w:sz w:val="22"/>
              </w:rPr>
              <w:t>$375.18</w:t>
            </w:r>
          </w:p>
        </w:tc>
        <w:tc>
          <w:tcPr>
            <w:tcW w:type="dxa" w:w="2160"/>
          </w:tcPr>
          <w:p>
            <w:r>
              <w:rPr>
                <w:rFonts w:ascii="Calibri" w:hAnsi="Calibri"/>
                <w:sz w:val="22"/>
              </w:rPr>
              <w:t>$742.09</w:t>
            </w:r>
          </w:p>
        </w:tc>
      </w:tr>
      <w:tr>
        <w:tc>
          <w:tcPr>
            <w:tcW w:type="dxa" w:w="2160"/>
          </w:tcPr>
          <w:p>
            <w:r>
              <w:rPr>
                <w:rFonts w:ascii="Calibri" w:hAnsi="Calibri"/>
                <w:sz w:val="22"/>
              </w:rPr>
              <w:t>Return Since Q1 Earnings</w:t>
            </w:r>
          </w:p>
        </w:tc>
        <w:tc>
          <w:tcPr>
            <w:tcW w:type="dxa" w:w="2160"/>
          </w:tcPr>
          <w:p>
            <w:r>
              <w:rPr>
                <w:rFonts w:ascii="Calibri" w:hAnsi="Calibri"/>
                <w:b/>
                <w:color w:val="E5484D"/>
                <w:sz w:val="22"/>
              </w:rPr>
              <w:t>−8.0%</w:t>
            </w:r>
          </w:p>
        </w:tc>
        <w:tc>
          <w:tcPr>
            <w:tcW w:type="dxa" w:w="2160"/>
          </w:tcPr>
          <w:p>
            <w:r>
              <w:rPr>
                <w:rFonts w:ascii="Calibri" w:hAnsi="Calibri"/>
                <w:b/>
                <w:color w:val="E5484D"/>
                <w:sz w:val="22"/>
              </w:rPr>
              <w:t>−8.2%</w:t>
            </w:r>
          </w:p>
        </w:tc>
        <w:tc>
          <w:tcPr>
            <w:tcW w:type="dxa" w:w="2160"/>
          </w:tcPr>
          <w:p>
            <w:r>
              <w:rPr>
                <w:rFonts w:ascii="Calibri" w:hAnsi="Calibri"/>
                <w:b/>
                <w:color w:val="30A46C"/>
                <w:sz w:val="22"/>
              </w:rPr>
              <w:t>+5.4%</w:t>
            </w:r>
          </w:p>
        </w:tc>
      </w:tr>
      <w:tr>
        <w:tc>
          <w:tcPr>
            <w:tcW w:type="dxa" w:w="2160"/>
          </w:tcPr>
          <w:p>
            <w:r>
              <w:rPr>
                <w:rFonts w:ascii="Calibri" w:hAnsi="Calibri"/>
                <w:sz w:val="22"/>
              </w:rPr>
              <w:t>HAL vs. SPY (Relative Return)</w:t>
            </w:r>
          </w:p>
        </w:tc>
        <w:tc>
          <w:tcPr>
            <w:tcW w:type="dxa" w:w="2160"/>
          </w:tcPr>
          <w:p>
            <w:r>
              <w:rPr>
                <w:rFonts w:ascii="Calibri" w:hAnsi="Calibri"/>
                <w:b/>
                <w:color w:val="E5484D"/>
                <w:sz w:val="22"/>
              </w:rPr>
              <w:t>−13.4 pp underperformance</w:t>
            </w:r>
          </w:p>
        </w:tc>
        <w:tc>
          <w:tcPr>
            <w:tcW w:type="dxa" w:w="2160"/>
          </w:tcPr>
          <w:p>
            <w:r>
              <w:rPr>
                <w:rFonts w:ascii="Calibri" w:hAnsi="Calibri"/>
                <w:sz w:val="22"/>
              </w:rPr>
              <w:t>N/A</w:t>
            </w:r>
          </w:p>
        </w:tc>
        <w:tc>
          <w:tcPr>
            <w:tcW w:type="dxa" w:w="2160"/>
          </w:tcPr>
          <w:p>
            <w:r>
              <w:rPr>
                <w:rFonts w:ascii="Calibri" w:hAnsi="Calibri"/>
                <w:sz w:val="22"/>
              </w:rPr>
              <w:t>N/A</w:t>
            </w:r>
          </w:p>
        </w:tc>
      </w:tr>
    </w:tbl>
    <w:p>
      <w:r>
        <w:rPr>
          <w:rFonts w:ascii="Calibri" w:hAnsi="Calibri"/>
          <w:i/>
          <w:color w:val="525866"/>
          <w:sz w:val="22"/>
        </w:rPr>
        <w:t>Source: Stock Price Data.</w:t>
      </w:r>
    </w:p>
    <w:p>
      <w:r>
        <w:rPr>
          <w:rFonts w:ascii="Calibri" w:hAnsi="Calibri"/>
          <w:b/>
          <w:color w:val="525866"/>
          <w:sz w:val="22"/>
        </w:rPr>
        <w:t xml:space="preserve">Commentary: </w:t>
      </w:r>
      <w:r>
        <w:rPr>
          <w:rFonts w:ascii="Calibri" w:hAnsi="Calibri"/>
          <w:color w:val="525866"/>
          <w:sz w:val="22"/>
        </w:rPr>
        <w:t>HAL rallied sharply in the first two weeks post-Q1 earnings (peak of $42.98 on May 19), then sold off aggressively through June as oil prices weakened and Middle East uncertainty persisted. The stock bottomed at $32.96 on July 2 — a 23% drawdown from the post-earnings peak — before recovering modestly to ~$35. Notably, HAL has tracked OIH almost perfectly (both down ~8% since Q1 earnings), suggesting the underperformance vs. SPY is sector-driven rather than company-specific. At current levels, the stock is not pricing in a beat; the setup is neutral-to-slightly-positive for a relief rally if Q2 results confirm the Middle East headwind is not worsening.</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 xml:space="preserve">Peer commentary since HAL’s Q1 2026 earnings is </w:t>
      </w:r>
      <w:r>
        <w:rPr>
          <w:rFonts w:ascii="Calibri" w:hAnsi="Calibri"/>
          <w:b/>
          <w:color w:val="525866"/>
          <w:sz w:val="22"/>
        </w:rPr>
        <w:t>broadly constructive for HAL’s Q2 setup</w:t>
      </w:r>
      <w:r>
        <w:rPr>
          <w:rFonts w:ascii="Calibri" w:hAnsi="Calibri"/>
          <w:color w:val="525866"/>
          <w:sz w:val="22"/>
        </w:rPr>
        <w:t xml:space="preserve"> — Liberty Energy (LBRT) confirmed North America frac market tightening and high-single-digit sequential revenue growth in Q2, while SLB’s Digital Investor Day reinforced the long-term technology differentiation thesis; the key read-through risk is that </w:t>
      </w:r>
      <w:r>
        <w:rPr>
          <w:rFonts w:ascii="Calibri" w:hAnsi="Calibri"/>
          <w:b/>
          <w:color w:val="525866"/>
          <w:sz w:val="22"/>
        </w:rPr>
        <w:t>no peer has yet reported Q2 2026 actuals</w:t>
      </w:r>
      <w:r>
        <w:rPr>
          <w:rFonts w:ascii="Calibri" w:hAnsi="Calibri"/>
          <w:color w:val="525866"/>
          <w:sz w:val="22"/>
        </w:rPr>
        <w:t>, so the Middle East impact remains unconfirmed.</w:t>
      </w:r>
    </w:p>
    <w:p>
      <w:r>
        <w:rPr>
          <w:rFonts w:ascii="Calibri" w:hAnsi="Calibri"/>
          <w:b/>
          <w:color w:val="525866"/>
          <w:sz w:val="22"/>
        </w:rPr>
        <w:t xml:space="preserve">Note: </w:t>
      </w:r>
      <w:r>
        <w:rPr>
          <w:rFonts w:ascii="Calibri" w:hAnsi="Calibri"/>
          <w:i/>
          <w:color w:val="525866"/>
          <w:sz w:val="22"/>
        </w:rPr>
        <w:t>Only commentary from after HAL’s Q1 2026 earnings (April 21, 2026) that speaks to Q2 2026 conditions or the current operating environment is included below. Prior-quarter earnings results from peers are excluded.</w:t>
      </w:r>
    </w:p>
    <w:p>
      <w:pPr>
        <w:pStyle w:val="Heading3"/>
      </w:pPr>
      <w:r>
        <w:rPr>
          <w:rFonts w:ascii="Calibri" w:hAnsi="Calibri"/>
          <w:b/>
          <w:color w:val="3B4259"/>
          <w:sz w:val="24"/>
        </w:rPr>
        <w:t>Liberty Energy (LBRT) — Q1 2026 Earnings Call (April 2026)</w:t>
      </w:r>
    </w:p>
    <w:p>
      <w:r>
        <w:rPr>
          <w:rFonts w:ascii="Calibri" w:hAnsi="Calibri"/>
          <w:b/>
          <w:color w:val="525866"/>
          <w:sz w:val="22"/>
        </w:rPr>
        <w:t xml:space="preserve">Relevance to HAL: </w:t>
      </w:r>
      <w:r>
        <w:rPr>
          <w:rFonts w:ascii="Calibri" w:hAnsi="Calibri"/>
          <w:color w:val="525866"/>
          <w:sz w:val="22"/>
        </w:rPr>
        <w:t>LBRT is HAL’s most direct North America completion services competitor. Its Q2 2026 outlook is the clearest read-through for HAL’s C&amp;P division in North America.</w:t>
      </w:r>
    </w:p>
    <w:p>
      <w:pPr>
        <w:pStyle w:val="ListBullet"/>
        <w:ind w:left="360" w:hanging="360"/>
      </w:pPr>
      <w:r>
        <w:rPr>
          <w:rFonts w:ascii="Calibri" w:hAnsi="Calibri"/>
          <w:b/>
          <w:color w:val="525866"/>
          <w:sz w:val="22"/>
        </w:rPr>
        <w:t xml:space="preserve">North America frac market tightening confirmed: </w:t>
      </w:r>
      <w:r>
        <w:rPr>
          <w:rFonts w:ascii="Calibri" w:hAnsi="Calibri"/>
          <w:color w:val="525866"/>
          <w:sz w:val="22"/>
        </w:rPr>
        <w:t>LBRT stated the frac market is “quite tight from a utilization standpoint” as both Liberty and peers rightsized fleets. Remaining sidelined capacity is “a relatively limited amount of older equipment” requiring meaningful capital to reactivate — directly corroborating HAL’s claim that frac calendar white space has been eliminated.</w:t>
      </w:r>
    </w:p>
    <w:p>
      <w:pPr>
        <w:pStyle w:val="ListBullet"/>
        <w:ind w:left="360" w:hanging="360"/>
      </w:pPr>
      <w:r>
        <w:rPr>
          <w:rFonts w:ascii="Calibri" w:hAnsi="Calibri"/>
          <w:b/>
          <w:color w:val="525866"/>
          <w:sz w:val="22"/>
        </w:rPr>
        <w:t xml:space="preserve">Q2 2026 revenue guided high-single-digits sequential: </w:t>
      </w:r>
      <w:r>
        <w:rPr>
          <w:rFonts w:ascii="Calibri" w:hAnsi="Calibri"/>
          <w:color w:val="525866"/>
          <w:sz w:val="22"/>
        </w:rPr>
        <w:t>LBRT CFO guided Q2 revenue “up by high single digits” sequentially, driven by activity pull-throughs and DUC acceleration. This is a strong positive read-through for HAL’s C&amp;P division, which guided +4–6% sequential — LBRT’s stronger guide suggests HAL may be conservative.</w:t>
      </w:r>
    </w:p>
    <w:p>
      <w:pPr>
        <w:pStyle w:val="ListBullet"/>
        <w:ind w:left="360" w:hanging="360"/>
      </w:pPr>
      <w:r>
        <w:rPr>
          <w:rFonts w:ascii="Calibri" w:hAnsi="Calibri"/>
          <w:b/>
          <w:color w:val="525866"/>
          <w:sz w:val="22"/>
        </w:rPr>
        <w:t xml:space="preserve">Pricing recovery beginning in Q2: </w:t>
      </w:r>
      <w:r>
        <w:rPr>
          <w:rFonts w:ascii="Calibri" w:hAnsi="Calibri"/>
          <w:color w:val="525866"/>
          <w:sz w:val="22"/>
        </w:rPr>
        <w:t>LBRT’s sales team is having “great success” in pricing conversations, with E&amp;P economics having “changed meaningfully over the last number of weeks” due to higher oil prices. LBRT expects to “start to recognize some of that price here in the second quarter,” though the “biggest impact… is going to be felt in the back half of the year.” This supports HAL’s North America recovery narrative but suggests pricing tailwinds are still modest in Q2.</w:t>
      </w:r>
    </w:p>
    <w:p>
      <w:pPr>
        <w:pStyle w:val="ListBullet"/>
        <w:ind w:left="360" w:hanging="360"/>
      </w:pPr>
      <w:r>
        <w:rPr>
          <w:rFonts w:ascii="Calibri" w:hAnsi="Calibri"/>
          <w:b/>
          <w:color w:val="525866"/>
          <w:sz w:val="22"/>
        </w:rPr>
        <w:t xml:space="preserve">DUC acceleration absorbing white space: </w:t>
      </w:r>
      <w:r>
        <w:rPr>
          <w:rFonts w:ascii="Calibri" w:hAnsi="Calibri"/>
          <w:color w:val="525866"/>
          <w:sz w:val="22"/>
        </w:rPr>
        <w:t>Customers are accelerating DUC (Drilled but Uncompleted) activity, which is “absorbing any remaining white space on the calendar.” This is a direct confirmation of HAL’s Q1 call commentary that frac calendar white space for Q2 was “now gone.”</w:t>
      </w:r>
    </w:p>
    <w:p>
      <w:pPr>
        <w:pStyle w:val="ListBullet"/>
        <w:ind w:left="360" w:hanging="360"/>
      </w:pPr>
      <w:r>
        <w:rPr>
          <w:rFonts w:ascii="Calibri" w:hAnsi="Calibri"/>
          <w:b/>
          <w:color w:val="525866"/>
          <w:sz w:val="22"/>
        </w:rPr>
        <w:t xml:space="preserve">Middle East structural read-through: </w:t>
      </w:r>
      <w:r>
        <w:rPr>
          <w:rFonts w:ascii="Calibri" w:hAnsi="Calibri"/>
          <w:color w:val="525866"/>
          <w:sz w:val="22"/>
        </w:rPr>
        <w:t>LBRT highlighted that the Strait of Hormuz closure and attacks on Qatar’s Ras Laffan hub may cause “multiyear supply constraints” in global LNG markets, with the shock “most acute in Asia.” This structural framing supports HAL’s bullish medium-term thesis on energy security investment, even as the near-term operational impact remains a headwind.</w:t>
      </w:r>
    </w:p>
    <w:p>
      <w:pPr>
        <w:pStyle w:val="ListBullet"/>
        <w:ind w:left="360" w:hanging="360"/>
      </w:pPr>
      <w:r>
        <w:rPr>
          <w:rFonts w:ascii="Calibri" w:hAnsi="Calibri"/>
          <w:b/>
          <w:color w:val="525866"/>
          <w:sz w:val="22"/>
        </w:rPr>
        <w:t xml:space="preserve">Power business momentum: </w:t>
      </w:r>
      <w:r>
        <w:rPr>
          <w:rFonts w:ascii="Calibri" w:hAnsi="Calibri"/>
          <w:color w:val="525866"/>
          <w:sz w:val="22"/>
        </w:rPr>
        <w:t>LBRT’s Liberty Power Infrastructure (LPI) is seeing more direct collaboration with hyperscalers, expanding beyond the developer ecosystem. This is a read-through for HAL’s VoltaGrid partnership, which is targeting Eastern Hemisphere data center deployments for 2028.</w:t>
      </w:r>
    </w:p>
    <w:p>
      <w:pPr>
        <w:pStyle w:val="Heading3"/>
      </w:pPr>
      <w:r>
        <w:rPr>
          <w:rFonts w:ascii="Calibri" w:hAnsi="Calibri"/>
          <w:b/>
          <w:color w:val="3B4259"/>
          <w:sz w:val="24"/>
        </w:rPr>
        <w:t>SLB — Digital Investor Day (June 17, 2026)</w:t>
      </w:r>
    </w:p>
    <w:p>
      <w:r>
        <w:rPr>
          <w:rFonts w:ascii="Calibri" w:hAnsi="Calibri"/>
          <w:b/>
          <w:color w:val="525866"/>
          <w:sz w:val="22"/>
        </w:rPr>
        <w:t xml:space="preserve">Relevance to HAL: </w:t>
      </w:r>
      <w:r>
        <w:rPr>
          <w:rFonts w:ascii="Calibri" w:hAnsi="Calibri"/>
          <w:color w:val="525866"/>
          <w:sz w:val="22"/>
        </w:rPr>
        <w:t>SLB is HAL’s largest direct competitor globally. The Digital Investor Day focused on SLB’s long-term digital strategy through 2030, with read-throughs for the broader technology differentiation narrative that HAL is also pursuing (ZEUS IQ, LOGIX, Sekal DrillTronics).</w:t>
      </w:r>
    </w:p>
    <w:p>
      <w:pPr>
        <w:pStyle w:val="ListBullet"/>
        <w:ind w:left="360" w:hanging="360"/>
      </w:pPr>
      <w:r>
        <w:rPr>
          <w:rFonts w:ascii="Calibri" w:hAnsi="Calibri"/>
          <w:b/>
          <w:color w:val="525866"/>
          <w:sz w:val="22"/>
        </w:rPr>
        <w:t xml:space="preserve">Digital revenue growing 10–15% CAGR through 2030: </w:t>
      </w:r>
      <w:r>
        <w:rPr>
          <w:rFonts w:ascii="Calibri" w:hAnsi="Calibri"/>
          <w:color w:val="525866"/>
          <w:sz w:val="22"/>
        </w:rPr>
        <w:t>SLB guided digital revenue to grow at a 10–15% CAGR from 2025 through 2030, targeting ~$2B in annual recurring revenue by 2030 with EBITDA margins of 38–42%. This validates the broader industry thesis that technology differentiation is becoming a structural competitive moat — a narrative HAL is also pursuing with ZEUS IQ, iCruise, and the Sekal acquisition.</w:t>
      </w:r>
    </w:p>
    <w:p>
      <w:pPr>
        <w:pStyle w:val="ListBullet"/>
        <w:ind w:left="360" w:hanging="360"/>
      </w:pPr>
      <w:r>
        <w:rPr>
          <w:rFonts w:ascii="Calibri" w:hAnsi="Calibri"/>
          <w:b/>
          <w:color w:val="525866"/>
          <w:sz w:val="22"/>
        </w:rPr>
        <w:t xml:space="preserve">Digital operations as a market-creation opportunity: </w:t>
      </w:r>
      <w:r>
        <w:rPr>
          <w:rFonts w:ascii="Calibri" w:hAnsi="Calibri"/>
          <w:color w:val="525866"/>
          <w:sz w:val="22"/>
        </w:rPr>
        <w:t>SLB sees digital operations (connected equipment, autonomous workflows) potentially tripling by 2030, currently representing only ~1.5% of core equipment and services revenue. HAL’s LOGIX automation and Sekal DrillTronics closed-loop geosteering are directly competitive in this space — SLB’s bullish framing validates HAL’s technology investment thesis.</w:t>
      </w:r>
    </w:p>
    <w:p>
      <w:pPr>
        <w:pStyle w:val="ListBullet"/>
        <w:ind w:left="360" w:hanging="360"/>
      </w:pPr>
      <w:r>
        <w:rPr>
          <w:rFonts w:ascii="Calibri" w:hAnsi="Calibri"/>
          <w:b/>
          <w:color w:val="525866"/>
          <w:sz w:val="22"/>
        </w:rPr>
        <w:t xml:space="preserve">Subscription model transition: </w:t>
      </w:r>
      <w:r>
        <w:rPr>
          <w:rFonts w:ascii="Calibri" w:hAnsi="Calibri"/>
          <w:color w:val="525866"/>
          <w:sz w:val="22"/>
        </w:rPr>
        <w:t>SLB is transitioning customers from perpetual licenses to subscription models, which improves revenue predictability and reduces sales volatility. HAL’s D&amp;E division faces a seasonal software roll-off in Q2 (guided −75 to −125 bps margin impact) — SLB’s commentary suggests this is an industry-wide dynamic, not a HAL-specific issue.</w:t>
      </w:r>
    </w:p>
    <w:p>
      <w:pPr>
        <w:pStyle w:val="ListBullet"/>
        <w:ind w:left="360" w:hanging="360"/>
      </w:pPr>
      <w:r>
        <w:rPr>
          <w:rFonts w:ascii="Calibri" w:hAnsi="Calibri"/>
          <w:b/>
          <w:color w:val="525866"/>
          <w:sz w:val="22"/>
        </w:rPr>
        <w:t xml:space="preserve">No Q2 2026 operational commentary: </w:t>
      </w:r>
      <w:r>
        <w:rPr>
          <w:rFonts w:ascii="Calibri" w:hAnsi="Calibri"/>
          <w:color w:val="525866"/>
          <w:sz w:val="22"/>
        </w:rPr>
        <w:t>SLB’s Digital Investor Day was focused exclusively on long-term strategy and did not provide Q2 2026 operational guidance or commentary on current market conditions. SLB Q2 2026 earnings are expected in late July 2026 and will be a key read-through for HAL’s international business.</w:t>
      </w:r>
    </w:p>
    <w:p>
      <w:pPr>
        <w:pStyle w:val="Heading3"/>
      </w:pPr>
      <w:r>
        <w:rPr>
          <w:rFonts w:ascii="Calibri" w:hAnsi="Calibri"/>
          <w:b/>
          <w:color w:val="3B4259"/>
          <w:sz w:val="24"/>
        </w:rPr>
        <w:t>Baker Hughes (BKR) — Recent Developments (Post-April 2026)</w:t>
      </w:r>
    </w:p>
    <w:p>
      <w:r>
        <w:rPr>
          <w:rFonts w:ascii="Calibri" w:hAnsi="Calibri"/>
          <w:b/>
          <w:color w:val="525866"/>
          <w:sz w:val="22"/>
        </w:rPr>
        <w:t xml:space="preserve">Relevance to HAL: </w:t>
      </w:r>
      <w:r>
        <w:rPr>
          <w:rFonts w:ascii="Calibri" w:hAnsi="Calibri"/>
          <w:color w:val="525866"/>
          <w:sz w:val="22"/>
        </w:rPr>
        <w:t>BKR competes with HAL in drilling and evaluation services internationally. BKR’s recent corporate activity provides context on the broader OFS sector.</w:t>
      </w:r>
    </w:p>
    <w:p>
      <w:pPr>
        <w:pStyle w:val="ListBullet"/>
        <w:ind w:left="360" w:hanging="360"/>
      </w:pPr>
      <w:r>
        <w:rPr>
          <w:rFonts w:ascii="Calibri" w:hAnsi="Calibri"/>
          <w:b/>
          <w:color w:val="525866"/>
          <w:sz w:val="22"/>
        </w:rPr>
        <w:t xml:space="preserve">Chart Industries acquisition completed (July 16, 2026): </w:t>
      </w:r>
      <w:r>
        <w:rPr>
          <w:rFonts w:ascii="Calibri" w:hAnsi="Calibri"/>
          <w:color w:val="525866"/>
          <w:sz w:val="22"/>
        </w:rPr>
        <w:t>BKR completed its acquisition of Chart Industries and secured $2B in new term loans. This is a strategic move into industrial/LNG equipment that is not directly competitive with HAL’s core oilfield services business, but signals BKR’s confidence in long-term LNG infrastructure demand — consistent with the energy security investment thesis HAL is also citing.</w:t>
      </w:r>
    </w:p>
    <w:p>
      <w:pPr>
        <w:pStyle w:val="ListBullet"/>
        <w:ind w:left="360" w:hanging="360"/>
      </w:pPr>
      <w:r>
        <w:rPr>
          <w:rFonts w:ascii="Calibri" w:hAnsi="Calibri"/>
          <w:b/>
          <w:color w:val="525866"/>
          <w:sz w:val="22"/>
        </w:rPr>
        <w:t xml:space="preserve">Q2 2026 earnings scheduled: </w:t>
      </w:r>
      <w:r>
        <w:rPr>
          <w:rFonts w:ascii="Calibri" w:hAnsi="Calibri"/>
          <w:color w:val="525866"/>
          <w:sz w:val="22"/>
        </w:rPr>
        <w:t>BKR announced its Q2 2026 earnings release date (late July 2026). BKR’s Q2 results will be a key read-through for HAL’s international D&amp;E business, particularly in the Middle East and LNG-adjacent markets. BKR reports before HAL, making it a same-day or prior-day read-through.</w:t>
      </w:r>
    </w:p>
    <w:p>
      <w:pPr>
        <w:pStyle w:val="Heading3"/>
      </w:pPr>
      <w:r>
        <w:rPr>
          <w:rFonts w:ascii="Calibri" w:hAnsi="Calibri"/>
          <w:b/>
          <w:color w:val="3B4259"/>
          <w:sz w:val="24"/>
        </w:rPr>
        <w:t>NOV Inc. (NOV) — Q1 2026 Earnings Call (April 28, 2026)</w:t>
      </w:r>
    </w:p>
    <w:p>
      <w:r>
        <w:rPr>
          <w:rFonts w:ascii="Calibri" w:hAnsi="Calibri"/>
          <w:b/>
          <w:color w:val="525866"/>
          <w:sz w:val="22"/>
        </w:rPr>
        <w:t xml:space="preserve">Relevance to HAL: </w:t>
      </w:r>
      <w:r>
        <w:rPr>
          <w:rFonts w:ascii="Calibri" w:hAnsi="Calibri"/>
          <w:color w:val="525866"/>
          <w:sz w:val="22"/>
        </w:rPr>
        <w:t>NOV is a capital equipment supplier to the oilfield services industry. Its Q1 2026 results and Q2 2026 outlook provide a leading indicator for drilling activity and equipment demand that feeds into HAL’s D&amp;E division.</w:t>
      </w:r>
    </w:p>
    <w:p>
      <w:pPr>
        <w:pStyle w:val="ListBullet"/>
        <w:ind w:left="360" w:hanging="360"/>
      </w:pPr>
      <w:r>
        <w:rPr>
          <w:rFonts w:ascii="Calibri" w:hAnsi="Calibri"/>
          <w:b/>
          <w:color w:val="525866"/>
          <w:sz w:val="22"/>
        </w:rPr>
        <w:t xml:space="preserve">Q2 2026 earnings call scheduled: </w:t>
      </w:r>
      <w:r>
        <w:rPr>
          <w:rFonts w:ascii="Calibri" w:hAnsi="Calibri"/>
          <w:color w:val="525866"/>
          <w:sz w:val="22"/>
        </w:rPr>
        <w:t>NOV announced its Q2 2026 earnings conference call (late July 2026). NOV’s Q1 2026 results were reported April 28, 2026 — one week after HAL’s Q1 print. NOV’s Q2 2026 results will be a read-through for drilling equipment demand trends heading into H2 2026.</w:t>
      </w:r>
    </w:p>
    <w:p>
      <w:pPr>
        <w:pStyle w:val="ListBullet"/>
        <w:ind w:left="360" w:hanging="360"/>
      </w:pPr>
      <w:r>
        <w:rPr>
          <w:rFonts w:ascii="Calibri" w:hAnsi="Calibri"/>
          <w:b/>
          <w:color w:val="525866"/>
          <w:sz w:val="22"/>
        </w:rPr>
        <w:t xml:space="preserve">Broader context: </w:t>
      </w:r>
      <w:r>
        <w:rPr>
          <w:rFonts w:ascii="Calibri" w:hAnsi="Calibri"/>
          <w:color w:val="525866"/>
          <w:sz w:val="22"/>
        </w:rPr>
        <w:t>NOV’s Q1 2026 earnings were reported after HAL’s Q1 print but before the current reporting period. NOV’s Q2 2026 commentary (when reported) will be the most relevant read-through for HAL’s D&amp;E division capital equipment demand.</w:t>
      </w:r>
    </w:p>
    <w:p>
      <w:pPr>
        <w:pStyle w:val="Heading3"/>
      </w:pPr>
      <w:r>
        <w:rPr>
          <w:rFonts w:ascii="Calibri" w:hAnsi="Calibri"/>
          <w:b/>
          <w:color w:val="3B4259"/>
          <w:sz w:val="24"/>
        </w:rPr>
        <w:t>Weatherford International (WFRD) — Recent Developments</w:t>
      </w:r>
    </w:p>
    <w:p>
      <w:r>
        <w:rPr>
          <w:rFonts w:ascii="Calibri" w:hAnsi="Calibri"/>
          <w:b/>
          <w:color w:val="525866"/>
          <w:sz w:val="22"/>
        </w:rPr>
        <w:t xml:space="preserve">Relevance to HAL: </w:t>
      </w:r>
      <w:r>
        <w:rPr>
          <w:rFonts w:ascii="Calibri" w:hAnsi="Calibri"/>
          <w:color w:val="525866"/>
          <w:sz w:val="22"/>
        </w:rPr>
        <w:t>WFRD competes with HAL in drilling and completion services internationally, particularly in the Middle East and Latin America.</w:t>
      </w:r>
    </w:p>
    <w:p>
      <w:pPr>
        <w:pStyle w:val="ListBullet"/>
        <w:ind w:left="360" w:hanging="360"/>
      </w:pPr>
      <w:r>
        <w:rPr>
          <w:rFonts w:ascii="Calibri" w:hAnsi="Calibri"/>
          <w:b/>
          <w:color w:val="525866"/>
          <w:sz w:val="22"/>
        </w:rPr>
        <w:t xml:space="preserve">Q2 2026 earnings call announced (June 19, 2026): </w:t>
      </w:r>
      <w:r>
        <w:rPr>
          <w:rFonts w:ascii="Calibri" w:hAnsi="Calibri"/>
          <w:color w:val="525866"/>
          <w:sz w:val="22"/>
        </w:rPr>
        <w:t>WFRD announced its Q2 2026 conference call. WFRD’s Q2 results will be a read-through for HAL’s international business, particularly in the Middle East where both companies have significant exposure.</w:t>
      </w:r>
    </w:p>
    <w:p>
      <w:pPr>
        <w:pStyle w:val="ListBullet"/>
        <w:ind w:left="360" w:hanging="360"/>
      </w:pPr>
      <w:r>
        <w:rPr>
          <w:rFonts w:ascii="Calibri" w:hAnsi="Calibri"/>
          <w:b/>
          <w:color w:val="525866"/>
          <w:sz w:val="22"/>
        </w:rPr>
        <w:t xml:space="preserve">Redomestication vote failed (June 11, 2026): </w:t>
      </w:r>
      <w:r>
        <w:rPr>
          <w:rFonts w:ascii="Calibri" w:hAnsi="Calibri"/>
          <w:color w:val="525866"/>
          <w:sz w:val="22"/>
        </w:rPr>
        <w:t>WFRD shareholders rejected a proposed redomestication to Texas; the company plans to bring a Delaware proposal. This is a corporate governance development with no direct read-through for HAL’s Q2 2026 operating results.</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 / Date</w:t>
            </w:r>
          </w:p>
        </w:tc>
        <w:tc>
          <w:tcPr>
            <w:tcW w:type="dxa" w:w="2160"/>
            <w:shd w:val="clear" w:color="auto" w:fill="3B4259"/>
          </w:tcPr>
          <w:p>
            <w:r>
              <w:rPr>
                <w:rFonts w:ascii="Calibri" w:hAnsi="Calibri"/>
                <w:b/>
                <w:color w:val="FFFFFF"/>
                <w:sz w:val="22"/>
              </w:rPr>
              <w:t>Key Q2 2026 Read-Through for HAL</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LBRT</w:t>
            </w:r>
          </w:p>
        </w:tc>
        <w:tc>
          <w:tcPr>
            <w:tcW w:type="dxa" w:w="2160"/>
          </w:tcPr>
          <w:p>
            <w:r>
              <w:rPr>
                <w:rFonts w:ascii="Calibri" w:hAnsi="Calibri"/>
                <w:sz w:val="22"/>
              </w:rPr>
              <w:t>Q1 2026 Earnings (Apr 2026)</w:t>
            </w:r>
          </w:p>
        </w:tc>
        <w:tc>
          <w:tcPr>
            <w:tcW w:type="dxa" w:w="2160"/>
          </w:tcPr>
          <w:p>
            <w:r>
              <w:rPr>
                <w:rFonts w:ascii="Calibri" w:hAnsi="Calibri"/>
                <w:sz w:val="22"/>
              </w:rPr>
              <w:t>NA frac market tight; Q2 revenue +high single digits seq; pricing recovery beginning; DUC acceleration absorbing white space</w:t>
            </w:r>
          </w:p>
        </w:tc>
        <w:tc>
          <w:tcPr>
            <w:tcW w:type="dxa" w:w="2160"/>
          </w:tcPr>
          <w:p>
            <w:r>
              <w:rPr>
                <w:rFonts w:ascii="Calibri" w:hAnsi="Calibri"/>
                <w:b/>
                <w:color w:val="30A46C"/>
                <w:sz w:val="22"/>
              </w:rPr>
              <w:t>Positive</w:t>
            </w:r>
          </w:p>
        </w:tc>
      </w:tr>
      <w:tr>
        <w:tc>
          <w:tcPr>
            <w:tcW w:type="dxa" w:w="2160"/>
          </w:tcPr>
          <w:p>
            <w:r>
              <w:rPr>
                <w:rFonts w:ascii="Calibri" w:hAnsi="Calibri"/>
                <w:sz w:val="22"/>
              </w:rPr>
              <w:t>SLB</w:t>
            </w:r>
          </w:p>
        </w:tc>
        <w:tc>
          <w:tcPr>
            <w:tcW w:type="dxa" w:w="2160"/>
          </w:tcPr>
          <w:p>
            <w:r>
              <w:rPr>
                <w:rFonts w:ascii="Calibri" w:hAnsi="Calibri"/>
                <w:sz w:val="22"/>
              </w:rPr>
              <w:t>Digital Investor Day (Jun 17, 2026)</w:t>
            </w:r>
          </w:p>
        </w:tc>
        <w:tc>
          <w:tcPr>
            <w:tcW w:type="dxa" w:w="2160"/>
          </w:tcPr>
          <w:p>
            <w:r>
              <w:rPr>
                <w:rFonts w:ascii="Calibri" w:hAnsi="Calibri"/>
                <w:sz w:val="22"/>
              </w:rPr>
              <w:t>Technology differentiation thesis validated; digital operations market-creation opportunity; subscription model transition is industry-wide (supports D&amp;E software roll-off narrative)</w:t>
            </w:r>
          </w:p>
        </w:tc>
        <w:tc>
          <w:tcPr>
            <w:tcW w:type="dxa" w:w="2160"/>
          </w:tcPr>
          <w:p>
            <w:r>
              <w:rPr>
                <w:rFonts w:ascii="Calibri" w:hAnsi="Calibri"/>
                <w:b/>
                <w:color w:val="002FA7"/>
                <w:sz w:val="22"/>
              </w:rPr>
              <w:t>Neutral / Positive (long-term)</w:t>
            </w:r>
          </w:p>
        </w:tc>
      </w:tr>
      <w:tr>
        <w:tc>
          <w:tcPr>
            <w:tcW w:type="dxa" w:w="2160"/>
          </w:tcPr>
          <w:p>
            <w:r>
              <w:rPr>
                <w:rFonts w:ascii="Calibri" w:hAnsi="Calibri"/>
                <w:sz w:val="22"/>
              </w:rPr>
              <w:t>BKR</w:t>
            </w:r>
          </w:p>
        </w:tc>
        <w:tc>
          <w:tcPr>
            <w:tcW w:type="dxa" w:w="2160"/>
          </w:tcPr>
          <w:p>
            <w:r>
              <w:rPr>
                <w:rFonts w:ascii="Calibri" w:hAnsi="Calibri"/>
                <w:sz w:val="22"/>
              </w:rPr>
              <w:t>Chart acquisition closed (Jul 16, 2026)</w:t>
            </w:r>
          </w:p>
        </w:tc>
        <w:tc>
          <w:tcPr>
            <w:tcW w:type="dxa" w:w="2160"/>
          </w:tcPr>
          <w:p>
            <w:r>
              <w:rPr>
                <w:rFonts w:ascii="Calibri" w:hAnsi="Calibri"/>
                <w:sz w:val="22"/>
              </w:rPr>
              <w:t>LNG infrastructure confidence; Q2 2026 earnings pending (key ME/international read-through)</w:t>
            </w:r>
          </w:p>
        </w:tc>
        <w:tc>
          <w:tcPr>
            <w:tcW w:type="dxa" w:w="2160"/>
          </w:tcPr>
          <w:p>
            <w:r>
              <w:rPr>
                <w:rFonts w:ascii="Calibri" w:hAnsi="Calibri"/>
                <w:b/>
                <w:color w:val="002FA7"/>
                <w:sz w:val="22"/>
              </w:rPr>
              <w:t>Neutral (Q2 results pending)</w:t>
            </w:r>
          </w:p>
        </w:tc>
      </w:tr>
      <w:tr>
        <w:tc>
          <w:tcPr>
            <w:tcW w:type="dxa" w:w="2160"/>
          </w:tcPr>
          <w:p>
            <w:r>
              <w:rPr>
                <w:rFonts w:ascii="Calibri" w:hAnsi="Calibri"/>
                <w:sz w:val="22"/>
              </w:rPr>
              <w:t>NOV</w:t>
            </w:r>
          </w:p>
        </w:tc>
        <w:tc>
          <w:tcPr>
            <w:tcW w:type="dxa" w:w="2160"/>
          </w:tcPr>
          <w:p>
            <w:r>
              <w:rPr>
                <w:rFonts w:ascii="Calibri" w:hAnsi="Calibri"/>
                <w:sz w:val="22"/>
              </w:rPr>
              <w:t>Q2 2026 earnings call announced (Jun 16, 2026)</w:t>
            </w:r>
          </w:p>
        </w:tc>
        <w:tc>
          <w:tcPr>
            <w:tcW w:type="dxa" w:w="2160"/>
          </w:tcPr>
          <w:p>
            <w:r>
              <w:rPr>
                <w:rFonts w:ascii="Calibri" w:hAnsi="Calibri"/>
                <w:sz w:val="22"/>
              </w:rPr>
              <w:t>Q2 2026 results pending; will be read-through for D&amp;E equipment demand</w:t>
            </w:r>
          </w:p>
        </w:tc>
        <w:tc>
          <w:tcPr>
            <w:tcW w:type="dxa" w:w="2160"/>
          </w:tcPr>
          <w:p>
            <w:r>
              <w:rPr>
                <w:rFonts w:ascii="Calibri" w:hAnsi="Calibri"/>
                <w:b/>
                <w:color w:val="002FA7"/>
                <w:sz w:val="22"/>
              </w:rPr>
              <w:t>Pending</w:t>
            </w:r>
          </w:p>
        </w:tc>
      </w:tr>
      <w:tr>
        <w:tc>
          <w:tcPr>
            <w:tcW w:type="dxa" w:w="2160"/>
          </w:tcPr>
          <w:p>
            <w:r>
              <w:rPr>
                <w:rFonts w:ascii="Calibri" w:hAnsi="Calibri"/>
                <w:sz w:val="22"/>
              </w:rPr>
              <w:t>WFRD</w:t>
            </w:r>
          </w:p>
        </w:tc>
        <w:tc>
          <w:tcPr>
            <w:tcW w:type="dxa" w:w="2160"/>
          </w:tcPr>
          <w:p>
            <w:r>
              <w:rPr>
                <w:rFonts w:ascii="Calibri" w:hAnsi="Calibri"/>
                <w:sz w:val="22"/>
              </w:rPr>
              <w:t>Q2 2026 earnings call announced (Jun 19, 2026)</w:t>
            </w:r>
          </w:p>
        </w:tc>
        <w:tc>
          <w:tcPr>
            <w:tcW w:type="dxa" w:w="2160"/>
          </w:tcPr>
          <w:p>
            <w:r>
              <w:rPr>
                <w:rFonts w:ascii="Calibri" w:hAnsi="Calibri"/>
                <w:sz w:val="22"/>
              </w:rPr>
              <w:t>Q2 2026 results pending; key ME/international read-through</w:t>
            </w:r>
          </w:p>
        </w:tc>
        <w:tc>
          <w:tcPr>
            <w:tcW w:type="dxa" w:w="2160"/>
          </w:tcPr>
          <w:p>
            <w:r>
              <w:rPr>
                <w:rFonts w:ascii="Calibri" w:hAnsi="Calibri"/>
                <w:b/>
                <w:color w:val="002FA7"/>
                <w:sz w:val="22"/>
              </w:rPr>
              <w:t>Pending</w:t>
            </w:r>
          </w:p>
        </w:tc>
      </w:tr>
    </w:tbl>
    <w:p>
      <w:r>
        <w:rPr>
          <w:rFonts w:ascii="Calibri" w:hAnsi="Calibri"/>
          <w:i/>
          <w:color w:val="525866"/>
          <w:sz w:val="22"/>
        </w:rPr>
        <w:t>Sources: LBRT Q1 2026 Earnings Call Transcript; SLB Digital Investor Day Transcript (June 17, 2026); BKR 8-K filings (July 2026); NOV and WFRD press releases.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Post-Q1 news flow has been </w:t>
      </w:r>
      <w:r>
        <w:rPr>
          <w:rFonts w:ascii="Calibri" w:hAnsi="Calibri"/>
          <w:b/>
          <w:color w:val="525866"/>
          <w:sz w:val="22"/>
        </w:rPr>
        <w:t>limited and largely non-operational</w:t>
      </w:r>
      <w:r>
        <w:rPr>
          <w:rFonts w:ascii="Calibri" w:hAnsi="Calibri"/>
          <w:color w:val="525866"/>
          <w:sz w:val="22"/>
        </w:rPr>
        <w:t xml:space="preserve"> — the most significant development is the passing of a board director, while the Q2 earnings call announcement confirms the July 21, 2026 reporting date; no material guidance updates or pre-announcements have been issued.</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Date</w:t>
            </w:r>
          </w:p>
        </w:tc>
        <w:tc>
          <w:tcPr>
            <w:tcW w:type="dxa" w:w="2880"/>
            <w:shd w:val="clear" w:color="auto" w:fill="3B4259"/>
          </w:tcPr>
          <w:p>
            <w:r>
              <w:rPr>
                <w:rFonts w:ascii="Calibri" w:hAnsi="Calibri"/>
                <w:b/>
                <w:color w:val="FFFFFF"/>
                <w:sz w:val="22"/>
              </w:rPr>
              <w:t>Event</w:t>
            </w:r>
          </w:p>
        </w:tc>
        <w:tc>
          <w:tcPr>
            <w:tcW w:type="dxa" w:w="2880"/>
            <w:shd w:val="clear" w:color="auto" w:fill="3B4259"/>
          </w:tcPr>
          <w:p>
            <w:r>
              <w:rPr>
                <w:rFonts w:ascii="Calibri" w:hAnsi="Calibri"/>
                <w:b/>
                <w:color w:val="FFFFFF"/>
                <w:sz w:val="22"/>
              </w:rPr>
              <w:t>Significance for Q2 2026</w:t>
            </w:r>
          </w:p>
        </w:tc>
      </w:tr>
      <w:tr>
        <w:tc>
          <w:tcPr>
            <w:tcW w:type="dxa" w:w="2880"/>
          </w:tcPr>
          <w:p>
            <w:r>
              <w:rPr>
                <w:rFonts w:ascii="Calibri" w:hAnsi="Calibri"/>
                <w:sz w:val="22"/>
              </w:rPr>
              <w:t>June 29, 2026</w:t>
            </w:r>
          </w:p>
        </w:tc>
        <w:tc>
          <w:tcPr>
            <w:tcW w:type="dxa" w:w="2880"/>
          </w:tcPr>
          <w:p>
            <w:r>
              <w:rPr>
                <w:rFonts w:ascii="Calibri" w:hAnsi="Calibri"/>
                <w:sz w:val="22"/>
              </w:rPr>
              <w:t>Passing of Board Director Abdulaziz F. Al Khayyal (8-K filed)</w:t>
            </w:r>
          </w:p>
        </w:tc>
        <w:tc>
          <w:tcPr>
            <w:tcW w:type="dxa" w:w="2880"/>
          </w:tcPr>
          <w:p>
            <w:r>
              <w:rPr>
                <w:rFonts w:ascii="Calibri" w:hAnsi="Calibri"/>
                <w:sz w:val="22"/>
              </w:rPr>
              <w:t>Non-operational; Al Khayyal was a Saudi Aramco veteran with deep Middle East expertise — his passing is a governance event but may have symbolic significance given HAL’s Middle East exposure</w:t>
            </w:r>
          </w:p>
        </w:tc>
      </w:tr>
      <w:tr>
        <w:tc>
          <w:tcPr>
            <w:tcW w:type="dxa" w:w="2880"/>
          </w:tcPr>
          <w:p>
            <w:r>
              <w:rPr>
                <w:rFonts w:ascii="Calibri" w:hAnsi="Calibri"/>
                <w:sz w:val="22"/>
              </w:rPr>
              <w:t>June 10, 2026</w:t>
            </w:r>
          </w:p>
        </w:tc>
        <w:tc>
          <w:tcPr>
            <w:tcW w:type="dxa" w:w="2880"/>
          </w:tcPr>
          <w:p>
            <w:r>
              <w:rPr>
                <w:rFonts w:ascii="Calibri" w:hAnsi="Calibri"/>
                <w:sz w:val="22"/>
              </w:rPr>
              <w:t>HAL announces Q2 2026 Earnings Conference Call (press release)</w:t>
            </w:r>
          </w:p>
        </w:tc>
        <w:tc>
          <w:tcPr>
            <w:tcW w:type="dxa" w:w="2880"/>
          </w:tcPr>
          <w:p>
            <w:r>
              <w:rPr>
                <w:rFonts w:ascii="Calibri" w:hAnsi="Calibri"/>
                <w:sz w:val="22"/>
              </w:rPr>
              <w:t>Confirms July 21, 2026 reporting date; no guidance update or pre-announcement included</w:t>
            </w:r>
          </w:p>
        </w:tc>
      </w:tr>
      <w:tr>
        <w:tc>
          <w:tcPr>
            <w:tcW w:type="dxa" w:w="2880"/>
          </w:tcPr>
          <w:p>
            <w:r>
              <w:rPr>
                <w:rFonts w:ascii="Calibri" w:hAnsi="Calibri"/>
                <w:sz w:val="22"/>
              </w:rPr>
              <w:t>April 21, 2026</w:t>
            </w:r>
          </w:p>
        </w:tc>
        <w:tc>
          <w:tcPr>
            <w:tcW w:type="dxa" w:w="2880"/>
          </w:tcPr>
          <w:p>
            <w:r>
              <w:rPr>
                <w:rFonts w:ascii="Calibri" w:hAnsi="Calibri"/>
                <w:sz w:val="22"/>
              </w:rPr>
              <w:t>Q1 2026 Earnings Release and Conference Call</w:t>
            </w:r>
          </w:p>
        </w:tc>
        <w:tc>
          <w:tcPr>
            <w:tcW w:type="dxa" w:w="2880"/>
          </w:tcPr>
          <w:p>
            <w:r>
              <w:rPr>
                <w:rFonts w:ascii="Calibri" w:hAnsi="Calibri"/>
                <w:sz w:val="22"/>
              </w:rPr>
              <w:t>Last formal guidance update; Q2 2026 divisional guidance provided (see Section 3)</w:t>
            </w:r>
          </w:p>
        </w:tc>
      </w:tr>
    </w:tbl>
    <w:p>
      <w:r>
        <w:rPr>
          <w:rFonts w:ascii="Calibri" w:hAnsi="Calibri"/>
          <w:i/>
          <w:color w:val="525866"/>
          <w:sz w:val="22"/>
        </w:rPr>
        <w:t>Source: SEC Form 4 Filings (Insider Transaction Data).</w:t>
      </w:r>
    </w:p>
    <w:p>
      <w:r>
        <w:rPr>
          <w:rFonts w:ascii="Calibri" w:hAnsi="Calibri"/>
          <w:b/>
          <w:color w:val="525866"/>
          <w:sz w:val="22"/>
        </w:rPr>
        <w:t xml:space="preserve">Commentary: </w:t>
      </w:r>
      <w:r>
        <w:rPr>
          <w:rFonts w:ascii="Calibri" w:hAnsi="Calibri"/>
          <w:color w:val="525866"/>
          <w:sz w:val="22"/>
        </w:rPr>
        <w:t xml:space="preserve">All five insider transactions since Q1 2026 earnings are sales, with four of five executed under pre-planned 10b5-1 trading plans — these are routine, scheduled dispositions and carry no informational signal about management’s view of Q2 2026 results. The one discretionary sale (Director Tobi M. Young, 6,125 shares on April 30) is small in size and occurred immediately after the Q1 earnings beat, which is a common pattern of post-earnings liquidity. The most notable observation is the </w:t>
      </w:r>
      <w:r>
        <w:rPr>
          <w:rFonts w:ascii="Calibri" w:hAnsi="Calibri"/>
          <w:b/>
          <w:color w:val="525866"/>
          <w:sz w:val="22"/>
        </w:rPr>
        <w:t>absence of any insider buying</w:t>
      </w:r>
      <w:r>
        <w:rPr>
          <w:rFonts w:ascii="Calibri" w:hAnsi="Calibri"/>
          <w:color w:val="525866"/>
          <w:sz w:val="22"/>
        </w:rPr>
        <w:t xml:space="preserve"> despite the stock falling ~18% from its post-Q1 peak to the July 2 trough — while not alarming given the 10b5-1 context, it is worth monitoring as a potential signal of management’s conviction in the recovery thesis.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