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Halliburton Company (HAL) — Q2 2026 Earnings Preview</w:t>
      </w:r>
    </w:p>
    <w:p>
      <w:r>
        <w:rPr>
          <w:rFonts w:ascii="Calibri" w:hAnsi="Calibri"/>
          <w:b/>
          <w:color w:val="525866"/>
          <w:sz w:val="22"/>
        </w:rPr>
        <w:t xml:space="preserve">Ticker: </w:t>
      </w:r>
      <w:r>
        <w:rPr>
          <w:rFonts w:ascii="Calibri" w:hAnsi="Calibri"/>
          <w:color w:val="525866"/>
          <w:sz w:val="22"/>
        </w:rPr>
        <w:t xml:space="preserve">HAL  </w:t>
      </w:r>
      <w:r>
        <w:rPr>
          <w:rFonts w:ascii="Calibri" w:hAnsi="Calibri"/>
          <w:b/>
          <w:color w:val="525866"/>
          <w:sz w:val="22"/>
        </w:rPr>
        <w:t xml:space="preserve">Earnings Date: </w:t>
      </w:r>
      <w:r>
        <w:rPr>
          <w:rFonts w:ascii="Calibri" w:hAnsi="Calibri"/>
          <w:color w:val="525866"/>
          <w:sz w:val="22"/>
        </w:rPr>
        <w:t xml:space="preserve">July 21, 2026 (Pre-Market)  </w:t>
      </w:r>
      <w:r>
        <w:rPr>
          <w:rFonts w:ascii="Calibri" w:hAnsi="Calibri"/>
          <w:b/>
          <w:color w:val="525866"/>
          <w:sz w:val="22"/>
        </w:rPr>
        <w:t xml:space="preserve">Prepared: </w:t>
      </w:r>
      <w:r>
        <w:rPr>
          <w:rFonts w:ascii="Calibri" w:hAnsi="Calibri"/>
          <w:color w:val="525866"/>
          <w:sz w:val="22"/>
        </w:rPr>
        <w:t xml:space="preserve">July 20,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manageable bar with a known headwind — the Middle East disruption is already embedded in guidance — but the wildcard is whether the assumed offshore restart materialized mid-quarter; if it did not, EPS could miss by an additional $0.03–$0.05.</w:t>
      </w:r>
    </w:p>
    <w:p>
      <w:r>
        <w:rPr>
          <w:rFonts w:ascii="Calibri" w:hAnsi="Calibri"/>
          <w:color w:val="525866"/>
          <w:sz w:val="22"/>
        </w:rPr>
        <w:t xml:space="preserve">Heading into Q2 2026 earnings, consensus sits at </w:t>
      </w:r>
      <w:r>
        <w:rPr>
          <w:rFonts w:ascii="Calibri" w:hAnsi="Calibri"/>
          <w:b/>
          <w:color w:val="525866"/>
          <w:sz w:val="22"/>
        </w:rPr>
        <w:t>$0.54 adjusted EPS</w:t>
      </w:r>
      <w:r>
        <w:rPr>
          <w:rFonts w:ascii="Calibri" w:hAnsi="Calibri"/>
          <w:color w:val="525866"/>
          <w:sz w:val="22"/>
        </w:rPr>
        <w:t xml:space="preserve"> and </w:t>
      </w:r>
      <w:r>
        <w:rPr>
          <w:rFonts w:ascii="Calibri" w:hAnsi="Calibri"/>
          <w:b/>
          <w:color w:val="525866"/>
          <w:sz w:val="22"/>
        </w:rPr>
        <w:t>$5.51B revenue</w:t>
      </w:r>
      <w:r>
        <w:rPr>
          <w:rFonts w:ascii="Calibri" w:hAnsi="Calibri"/>
          <w:color w:val="525866"/>
          <w:sz w:val="22"/>
        </w:rPr>
        <w:t xml:space="preserve"> — a bar that management itself effectively set when it guided C&amp;P revenue +4–6% sequentially and D&amp;E flat to down 2% on the Q1 call. The Middle East conflict (Strait of Hormuz closure) is the dominant swing factor: management quantified a </w:t>
      </w:r>
      <w:r>
        <w:rPr>
          <w:rFonts w:ascii="Calibri" w:hAnsi="Calibri"/>
          <w:b/>
          <w:color w:val="525866"/>
          <w:sz w:val="22"/>
        </w:rPr>
        <w:t>$0.07–$0.09 per-share headwind</w:t>
      </w:r>
      <w:r>
        <w:rPr>
          <w:rFonts w:ascii="Calibri" w:hAnsi="Calibri"/>
          <w:color w:val="525866"/>
          <w:sz w:val="22"/>
        </w:rPr>
        <w:t xml:space="preserve"> embedded in Q2 divisional guidance, with an additional $0.03–$0.05 downside risk if the assumed mid-quarter offshore restart was delayed. Outside the Middle East, the setup is constructive — North America frac calendar white space was eliminated entering Q2, premium equipment is tightening, and Latin America continues to outperform. Estimate revisions have been remarkably stable since the Q1 print (EPS drifted from $0.542 to $0.541 over the quarter), suggesting the Street has already digested the conflict impact and is not pricing in incremental upside. The stock has given back roughly 11% from its post-Q1 high (~$42) to ~$35, underperforming both XES and the S&amp;P 500 since late May, implying the market is pricing in continued Middle East pressure rather than a beat. The single biggest wildcard is the pace of offshore restart in Qatar, UAE, and Saudi Arabia: any signal of earlier-than-expected resumption would be a meaningful positive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but not low bar</w:t>
      </w:r>
      <w:r>
        <w:rPr>
          <w:rFonts w:ascii="Calibri" w:hAnsi="Calibri"/>
          <w:color w:val="525866"/>
          <w:sz w:val="22"/>
        </w:rPr>
        <w:t xml:space="preserve"> — management pre-set expectations with explicit divisional guidance. Revenue is the bigger swing factor given Middle East volume uncertainty; EPS is more predictable given the embedded $0.07–$0.09 headwind already in guidance.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$5.402B</w:t>
            </w:r>
          </w:p>
        </w:tc>
        <w:tc>
          <w:tcPr>
            <w:tcW w:type="dxa" w:w="1234"/>
          </w:tcPr>
          <w:p>
            <w:r>
              <w:rPr>
                <w:rFonts w:ascii="Calibri" w:hAnsi="Calibri"/>
                <w:sz w:val="22"/>
              </w:rPr>
              <w:t>$5.510B</w:t>
            </w:r>
          </w:p>
        </w:tc>
        <w:tc>
          <w:tcPr>
            <w:tcW w:type="dxa" w:w="1234"/>
          </w:tcPr>
          <w:p>
            <w:r>
              <w:rPr>
                <w:rFonts w:ascii="Calibri" w:hAnsi="Calibri"/>
                <w:sz w:val="22"/>
              </w:rPr>
              <w:t>$5.514B</w:t>
            </w:r>
          </w:p>
        </w:tc>
        <w:tc>
          <w:tcPr>
            <w:tcW w:type="dxa" w:w="1234"/>
          </w:tcPr>
          <w:p>
            <w:r>
              <w:rPr>
                <w:rFonts w:ascii="Calibri" w:hAnsi="Calibri"/>
                <w:sz w:val="22"/>
              </w:rPr>
              <w:t>+0.1% YoY</w:t>
            </w:r>
          </w:p>
        </w:tc>
        <w:tc>
          <w:tcPr>
            <w:tcW w:type="dxa" w:w="1234"/>
          </w:tcPr>
          <w:p>
            <w:r>
              <w:rPr>
                <w:rFonts w:ascii="Calibri" w:hAnsi="Calibri"/>
                <w:sz w:val="22"/>
              </w:rPr>
              <w:t>C&amp;P +4–6% seq; D&amp;E flat to −2% seq</w:t>
            </w:r>
          </w:p>
        </w:tc>
        <w:tc>
          <w:tcPr>
            <w:tcW w:type="dxa" w:w="1234"/>
          </w:tcPr>
          <w:p>
            <w:r>
              <w:rPr>
                <w:rFonts w:ascii="Calibri" w:hAnsi="Calibri"/>
                <w:sz w:val="22"/>
              </w:rPr>
              <w:t>~In-line with guidance midpoint</w:t>
            </w:r>
          </w:p>
        </w:tc>
      </w:tr>
      <w:tr>
        <w:tc>
          <w:tcPr>
            <w:tcW w:type="dxa" w:w="1234"/>
          </w:tcPr>
          <w:p>
            <w:r>
              <w:rPr>
                <w:rFonts w:ascii="Calibri" w:hAnsi="Calibri"/>
                <w:sz w:val="22"/>
              </w:rPr>
              <w:t>Adj. EPS — Diluted ($)</w:t>
            </w:r>
          </w:p>
        </w:tc>
        <w:tc>
          <w:tcPr>
            <w:tcW w:type="dxa" w:w="1234"/>
          </w:tcPr>
          <w:p>
            <w:r>
              <w:rPr>
                <w:rFonts w:ascii="Calibri" w:hAnsi="Calibri"/>
                <w:sz w:val="22"/>
              </w:rPr>
              <w:t>$0.55</w:t>
            </w:r>
          </w:p>
        </w:tc>
        <w:tc>
          <w:tcPr>
            <w:tcW w:type="dxa" w:w="1234"/>
          </w:tcPr>
          <w:p>
            <w:r>
              <w:rPr>
                <w:rFonts w:ascii="Calibri" w:hAnsi="Calibri"/>
                <w:sz w:val="22"/>
              </w:rPr>
              <w:t>$0.55</w:t>
            </w:r>
          </w:p>
        </w:tc>
        <w:tc>
          <w:tcPr>
            <w:tcW w:type="dxa" w:w="1234"/>
          </w:tcPr>
          <w:p>
            <w:r>
              <w:rPr>
                <w:rFonts w:ascii="Calibri" w:hAnsi="Calibri"/>
                <w:sz w:val="22"/>
              </w:rPr>
              <w:t>$0.54</w:t>
            </w:r>
          </w:p>
        </w:tc>
        <w:tc>
          <w:tcPr>
            <w:tcW w:type="dxa" w:w="1234"/>
          </w:tcPr>
          <w:p>
            <w:r>
              <w:rPr>
                <w:rFonts w:ascii="Calibri" w:hAnsi="Calibri"/>
                <w:sz w:val="22"/>
              </w:rPr>
              <w:t>−1.8% YoY</w:t>
            </w:r>
          </w:p>
        </w:tc>
        <w:tc>
          <w:tcPr>
            <w:tcW w:type="dxa" w:w="1234"/>
          </w:tcPr>
          <w:p>
            <w:r>
              <w:rPr>
                <w:rFonts w:ascii="Calibri" w:hAnsi="Calibri"/>
                <w:sz w:val="22"/>
              </w:rPr>
              <w:t>$0.07–$0.09 ME headwind embedded; +$0.03–$0.05 add’l risk if offshore restart delayed</w:t>
            </w:r>
          </w:p>
        </w:tc>
        <w:tc>
          <w:tcPr>
            <w:tcW w:type="dxa" w:w="1234"/>
          </w:tcPr>
          <w:p>
            <w:r>
              <w:rPr>
                <w:rFonts w:ascii="Calibri" w:hAnsi="Calibri"/>
                <w:sz w:val="22"/>
              </w:rPr>
              <w:t>~In-line; downside risk if restart delayed</w:t>
            </w:r>
          </w:p>
        </w:tc>
      </w:tr>
      <w:tr>
        <w:tc>
          <w:tcPr>
            <w:tcW w:type="dxa" w:w="1234"/>
          </w:tcPr>
          <w:p>
            <w:r>
              <w:rPr>
                <w:rFonts w:ascii="Calibri" w:hAnsi="Calibri"/>
                <w:sz w:val="22"/>
              </w:rPr>
              <w:t>EBITDA — Operating ($B)</w:t>
            </w:r>
          </w:p>
        </w:tc>
        <w:tc>
          <w:tcPr>
            <w:tcW w:type="dxa" w:w="1234"/>
          </w:tcPr>
          <w:p>
            <w:r>
              <w:rPr>
                <w:rFonts w:ascii="Calibri" w:hAnsi="Calibri"/>
                <w:sz w:val="22"/>
              </w:rPr>
              <w:t>$0.974B</w:t>
            </w:r>
          </w:p>
        </w:tc>
        <w:tc>
          <w:tcPr>
            <w:tcW w:type="dxa" w:w="1234"/>
          </w:tcPr>
          <w:p>
            <w:r>
              <w:rPr>
                <w:rFonts w:ascii="Calibri" w:hAnsi="Calibri"/>
                <w:sz w:val="22"/>
              </w:rPr>
              <w:t>$1.011B</w:t>
            </w:r>
          </w:p>
        </w:tc>
        <w:tc>
          <w:tcPr>
            <w:tcW w:type="dxa" w:w="1234"/>
          </w:tcPr>
          <w:p>
            <w:r>
              <w:rPr>
                <w:rFonts w:ascii="Calibri" w:hAnsi="Calibri"/>
                <w:sz w:val="22"/>
              </w:rPr>
              <w:t>$0.985B</w:t>
            </w:r>
          </w:p>
        </w:tc>
        <w:tc>
          <w:tcPr>
            <w:tcW w:type="dxa" w:w="1234"/>
          </w:tcPr>
          <w:p>
            <w:r>
              <w:rPr>
                <w:rFonts w:ascii="Calibri" w:hAnsi="Calibri"/>
                <w:sz w:val="22"/>
              </w:rPr>
              <w:t>−2.6% YoY</w:t>
            </w:r>
          </w:p>
        </w:tc>
        <w:tc>
          <w:tcPr>
            <w:tcW w:type="dxa" w:w="1234"/>
          </w:tcPr>
          <w:p>
            <w:r>
              <w:rPr>
                <w:rFonts w:ascii="Calibri" w:hAnsi="Calibri"/>
                <w:sz w:val="22"/>
              </w:rPr>
              <w:t>Implied by divisional margin guidance</w:t>
            </w:r>
          </w:p>
        </w:tc>
        <w:tc>
          <w:tcPr>
            <w:tcW w:type="dxa" w:w="1234"/>
          </w:tcPr>
          <w:p>
            <w:r>
              <w:rPr>
                <w:rFonts w:ascii="Calibri" w:hAnsi="Calibri"/>
                <w:sz w:val="22"/>
              </w:rPr>
              <w:t>~In-line</w:t>
            </w:r>
          </w:p>
        </w:tc>
      </w:tr>
      <w:tr>
        <w:tc>
          <w:tcPr>
            <w:tcW w:type="dxa" w:w="1234"/>
          </w:tcPr>
          <w:p>
            <w:r>
              <w:rPr>
                <w:rFonts w:ascii="Calibri" w:hAnsi="Calibri"/>
                <w:sz w:val="22"/>
              </w:rPr>
              <w:t>Revenue — North America ($B)</w:t>
            </w:r>
          </w:p>
        </w:tc>
        <w:tc>
          <w:tcPr>
            <w:tcW w:type="dxa" w:w="1234"/>
          </w:tcPr>
          <w:p>
            <w:r>
              <w:rPr>
                <w:rFonts w:ascii="Calibri" w:hAnsi="Calibri"/>
                <w:sz w:val="22"/>
              </w:rPr>
              <w:t>$2.136B</w:t>
            </w:r>
          </w:p>
        </w:tc>
        <w:tc>
          <w:tcPr>
            <w:tcW w:type="dxa" w:w="1234"/>
          </w:tcPr>
          <w:p>
            <w:r>
              <w:rPr>
                <w:rFonts w:ascii="Calibri" w:hAnsi="Calibri"/>
                <w:sz w:val="22"/>
              </w:rPr>
              <w:t>$2.259B</w:t>
            </w:r>
          </w:p>
        </w:tc>
        <w:tc>
          <w:tcPr>
            <w:tcW w:type="dxa" w:w="1234"/>
          </w:tcPr>
          <w:p>
            <w:r>
              <w:rPr>
                <w:rFonts w:ascii="Calibri" w:hAnsi="Calibri"/>
                <w:sz w:val="22"/>
              </w:rPr>
              <w:t>$2.255B</w:t>
            </w:r>
          </w:p>
        </w:tc>
        <w:tc>
          <w:tcPr>
            <w:tcW w:type="dxa" w:w="1234"/>
          </w:tcPr>
          <w:p>
            <w:r>
              <w:rPr>
                <w:rFonts w:ascii="Calibri" w:hAnsi="Calibri"/>
                <w:sz w:val="22"/>
              </w:rPr>
              <w:t>−0.2% YoY</w:t>
            </w:r>
          </w:p>
        </w:tc>
        <w:tc>
          <w:tcPr>
            <w:tcW w:type="dxa" w:w="1234"/>
          </w:tcPr>
          <w:p>
            <w:r>
              <w:rPr>
                <w:rFonts w:ascii="Calibri" w:hAnsi="Calibri"/>
                <w:sz w:val="22"/>
              </w:rPr>
              <w:t>Constructive; frac white space eliminated</w:t>
            </w:r>
          </w:p>
        </w:tc>
        <w:tc>
          <w:tcPr>
            <w:tcW w:type="dxa" w:w="1234"/>
          </w:tcPr>
          <w:p>
            <w:r>
              <w:rPr>
                <w:rFonts w:ascii="Calibri" w:hAnsi="Calibri"/>
                <w:sz w:val="22"/>
              </w:rPr>
              <w:t>~In-line</w:t>
            </w:r>
          </w:p>
        </w:tc>
      </w:tr>
      <w:tr>
        <w:tc>
          <w:tcPr>
            <w:tcW w:type="dxa" w:w="1234"/>
          </w:tcPr>
          <w:p>
            <w:r>
              <w:rPr>
                <w:rFonts w:ascii="Calibri" w:hAnsi="Calibri"/>
                <w:sz w:val="22"/>
              </w:rPr>
              <w:t>Revenue — Middle East / Asia ($B)</w:t>
            </w:r>
          </w:p>
        </w:tc>
        <w:tc>
          <w:tcPr>
            <w:tcW w:type="dxa" w:w="1234"/>
          </w:tcPr>
          <w:p>
            <w:r>
              <w:rPr>
                <w:rFonts w:ascii="Calibri" w:hAnsi="Calibri"/>
                <w:sz w:val="22"/>
              </w:rPr>
              <w:t>$1.318B</w:t>
            </w:r>
          </w:p>
        </w:tc>
        <w:tc>
          <w:tcPr>
            <w:tcW w:type="dxa" w:w="1234"/>
          </w:tcPr>
          <w:p>
            <w:r>
              <w:rPr>
                <w:rFonts w:ascii="Calibri" w:hAnsi="Calibri"/>
                <w:sz w:val="22"/>
              </w:rPr>
              <w:t>$1.454B</w:t>
            </w:r>
          </w:p>
        </w:tc>
        <w:tc>
          <w:tcPr>
            <w:tcW w:type="dxa" w:w="1234"/>
          </w:tcPr>
          <w:p>
            <w:r>
              <w:rPr>
                <w:rFonts w:ascii="Calibri" w:hAnsi="Calibri"/>
                <w:sz w:val="22"/>
              </w:rPr>
              <w:t>$1.288B</w:t>
            </w:r>
          </w:p>
        </w:tc>
        <w:tc>
          <w:tcPr>
            <w:tcW w:type="dxa" w:w="1234"/>
          </w:tcPr>
          <w:p>
            <w:r>
              <w:rPr>
                <w:rFonts w:ascii="Calibri" w:hAnsi="Calibri"/>
                <w:b/>
                <w:color w:val="E5484D"/>
                <w:sz w:val="22"/>
              </w:rPr>
              <w:t>−11.4% YoY</w:t>
            </w:r>
          </w:p>
        </w:tc>
        <w:tc>
          <w:tcPr>
            <w:tcW w:type="dxa" w:w="1234"/>
          </w:tcPr>
          <w:p>
            <w:r>
              <w:rPr>
                <w:rFonts w:ascii="Calibri" w:hAnsi="Calibri"/>
                <w:sz w:val="22"/>
              </w:rPr>
              <w:t>Disrupted; offshore restart assumed mid-Q2</w:t>
            </w:r>
          </w:p>
        </w:tc>
        <w:tc>
          <w:tcPr>
            <w:tcW w:type="dxa" w:w="1234"/>
          </w:tcPr>
          <w:p>
            <w:r>
              <w:rPr>
                <w:rFonts w:ascii="Calibri" w:hAnsi="Calibri"/>
                <w:sz w:val="22"/>
              </w:rPr>
              <w:t>Downside risk if restart delayed</w:t>
            </w:r>
          </w:p>
        </w:tc>
      </w:tr>
      <w:tr>
        <w:tc>
          <w:tcPr>
            <w:tcW w:type="dxa" w:w="1234"/>
          </w:tcPr>
          <w:p>
            <w:r>
              <w:rPr>
                <w:rFonts w:ascii="Calibri" w:hAnsi="Calibri"/>
                <w:sz w:val="22"/>
              </w:rPr>
              <w:t>Free Cash Flow — Co. Reported ($M)</w:t>
            </w:r>
          </w:p>
        </w:tc>
        <w:tc>
          <w:tcPr>
            <w:tcW w:type="dxa" w:w="1234"/>
          </w:tcPr>
          <w:p>
            <w:r>
              <w:rPr>
                <w:rFonts w:ascii="Calibri" w:hAnsi="Calibri"/>
                <w:sz w:val="22"/>
              </w:rPr>
              <w:t>$123M</w:t>
            </w:r>
          </w:p>
        </w:tc>
        <w:tc>
          <w:tcPr>
            <w:tcW w:type="dxa" w:w="1234"/>
          </w:tcPr>
          <w:p>
            <w:r>
              <w:rPr>
                <w:rFonts w:ascii="Calibri" w:hAnsi="Calibri"/>
                <w:sz w:val="22"/>
              </w:rPr>
              <w:t>$582M</w:t>
            </w:r>
          </w:p>
        </w:tc>
        <w:tc>
          <w:tcPr>
            <w:tcW w:type="dxa" w:w="1234"/>
          </w:tcPr>
          <w:p>
            <w:r>
              <w:rPr>
                <w:rFonts w:ascii="Calibri" w:hAnsi="Calibri"/>
                <w:sz w:val="22"/>
              </w:rPr>
              <w:t>$474M</w:t>
            </w:r>
          </w:p>
        </w:tc>
        <w:tc>
          <w:tcPr>
            <w:tcW w:type="dxa" w:w="1234"/>
          </w:tcPr>
          <w:p>
            <w:r>
              <w:rPr>
                <w:rFonts w:ascii="Calibri" w:hAnsi="Calibri"/>
                <w:sz w:val="22"/>
              </w:rPr>
              <w:t>−18.6% YoY</w:t>
            </w:r>
          </w:p>
        </w:tc>
        <w:tc>
          <w:tcPr>
            <w:tcW w:type="dxa" w:w="1234"/>
          </w:tcPr>
          <w:p>
            <w:r>
              <w:rPr>
                <w:rFonts w:ascii="Calibri" w:hAnsi="Calibri"/>
                <w:sz w:val="22"/>
              </w:rPr>
              <w:t>H2 weighted; buybacks to accelerate in H2</w:t>
            </w:r>
          </w:p>
        </w:tc>
        <w:tc>
          <w:tcPr>
            <w:tcW w:type="dxa" w:w="1234"/>
          </w:tcPr>
          <w:p>
            <w:r>
              <w:rPr>
                <w:rFonts w:ascii="Calibri" w:hAnsi="Calibri"/>
                <w:sz w:val="22"/>
              </w:rPr>
              <w:t>Below prior-year; H2 recovery expected</w:t>
            </w:r>
          </w:p>
        </w:tc>
      </w:tr>
    </w:tbl>
    <w:p>
      <w:r>
        <w:rPr>
          <w:rFonts w:ascii="Calibri" w:hAnsi="Calibri"/>
          <w:i/>
          <w:color w:val="525866"/>
          <w:sz w:val="22"/>
        </w:rPr>
        <w:t>Source: Visible Alpha Consensus and Actuals Data</w:t>
      </w:r>
    </w:p>
    <w:p>
      <w:pPr>
        <w:pStyle w:val="Heading3"/>
      </w:pPr>
      <w:r>
        <w:rPr>
          <w:rFonts w:ascii="Calibri" w:hAnsi="Calibri"/>
          <w:b/>
          <w:color w:val="3B4259"/>
          <w:sz w:val="24"/>
        </w:rPr>
        <w:t>Table 2 — Beat / 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$0.80</w:t>
            </w:r>
          </w:p>
        </w:tc>
        <w:tc>
          <w:tcPr>
            <w:tcW w:type="dxa" w:w="1440"/>
          </w:tcPr>
          <w:p>
            <w:r>
              <w:rPr>
                <w:rFonts w:ascii="Calibri" w:hAnsi="Calibri"/>
                <w:sz w:val="22"/>
              </w:rPr>
              <w:t>$0.799</w:t>
            </w:r>
          </w:p>
        </w:tc>
        <w:tc>
          <w:tcPr>
            <w:tcW w:type="dxa" w:w="1440"/>
          </w:tcPr>
          <w:p>
            <w:r>
              <w:rPr>
                <w:rFonts w:ascii="Calibri" w:hAnsi="Calibri"/>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$5.833B</w:t>
            </w:r>
          </w:p>
        </w:tc>
        <w:tc>
          <w:tcPr>
            <w:tcW w:type="dxa" w:w="1440"/>
          </w:tcPr>
          <w:p>
            <w:r>
              <w:rPr>
                <w:rFonts w:ascii="Calibri" w:hAnsi="Calibri"/>
                <w:sz w:val="22"/>
              </w:rPr>
              <w:t>$5.948B</w:t>
            </w:r>
          </w:p>
        </w:tc>
        <w:tc>
          <w:tcPr>
            <w:tcW w:type="dxa" w:w="1440"/>
          </w:tcPr>
          <w:p>
            <w:r>
              <w:rPr>
                <w:rFonts w:ascii="Calibri" w:hAnsi="Calibri"/>
                <w:sz w:val="22"/>
              </w:rPr>
              <w:t>−1.9%</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$0.73</w:t>
            </w:r>
          </w:p>
        </w:tc>
        <w:tc>
          <w:tcPr>
            <w:tcW w:type="dxa" w:w="1440"/>
          </w:tcPr>
          <w:p>
            <w:r>
              <w:rPr>
                <w:rFonts w:ascii="Calibri" w:hAnsi="Calibri"/>
                <w:sz w:val="22"/>
              </w:rPr>
              <w:t>$0.754</w:t>
            </w:r>
          </w:p>
        </w:tc>
        <w:tc>
          <w:tcPr>
            <w:tcW w:type="dxa" w:w="1440"/>
          </w:tcPr>
          <w:p>
            <w:r>
              <w:rPr>
                <w:rFonts w:ascii="Calibri" w:hAnsi="Calibri"/>
                <w:sz w:val="22"/>
              </w:rPr>
              <w:t>−3.2%</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$5.697B</w:t>
            </w:r>
          </w:p>
        </w:tc>
        <w:tc>
          <w:tcPr>
            <w:tcW w:type="dxa" w:w="1440"/>
          </w:tcPr>
          <w:p>
            <w:r>
              <w:rPr>
                <w:rFonts w:ascii="Calibri" w:hAnsi="Calibri"/>
                <w:sz w:val="22"/>
              </w:rPr>
              <w:t>$5.822B</w:t>
            </w:r>
          </w:p>
        </w:tc>
        <w:tc>
          <w:tcPr>
            <w:tcW w:type="dxa" w:w="1440"/>
          </w:tcPr>
          <w:p>
            <w:r>
              <w:rPr>
                <w:rFonts w:ascii="Calibri" w:hAnsi="Calibri"/>
                <w:sz w:val="22"/>
              </w:rPr>
              <w:t>−2.1%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$0.70</w:t>
            </w:r>
          </w:p>
        </w:tc>
        <w:tc>
          <w:tcPr>
            <w:tcW w:type="dxa" w:w="1440"/>
          </w:tcPr>
          <w:p>
            <w:r>
              <w:rPr>
                <w:rFonts w:ascii="Calibri" w:hAnsi="Calibri"/>
                <w:sz w:val="22"/>
              </w:rPr>
              <w:t>$0.699</w:t>
            </w:r>
          </w:p>
        </w:tc>
        <w:tc>
          <w:tcPr>
            <w:tcW w:type="dxa" w:w="1440"/>
          </w:tcPr>
          <w:p>
            <w:r>
              <w:rPr>
                <w:rFonts w:ascii="Calibri" w:hAnsi="Calibri"/>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$5.610B</w:t>
            </w:r>
          </w:p>
        </w:tc>
        <w:tc>
          <w:tcPr>
            <w:tcW w:type="dxa" w:w="1440"/>
          </w:tcPr>
          <w:p>
            <w:r>
              <w:rPr>
                <w:rFonts w:ascii="Calibri" w:hAnsi="Calibri"/>
                <w:sz w:val="22"/>
              </w:rPr>
              <w:t>$5.627B</w:t>
            </w:r>
          </w:p>
        </w:tc>
        <w:tc>
          <w:tcPr>
            <w:tcW w:type="dxa" w:w="1440"/>
          </w:tcPr>
          <w:p>
            <w:r>
              <w:rPr>
                <w:rFonts w:ascii="Calibri" w:hAnsi="Calibri"/>
                <w:sz w:val="22"/>
              </w:rPr>
              <w:t>−0.3%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$0.60</w:t>
            </w:r>
          </w:p>
        </w:tc>
        <w:tc>
          <w:tcPr>
            <w:tcW w:type="dxa" w:w="1440"/>
          </w:tcPr>
          <w:p>
            <w:r>
              <w:rPr>
                <w:rFonts w:ascii="Calibri" w:hAnsi="Calibri"/>
                <w:sz w:val="22"/>
              </w:rPr>
              <w:t>$0.602</w:t>
            </w:r>
          </w:p>
        </w:tc>
        <w:tc>
          <w:tcPr>
            <w:tcW w:type="dxa" w:w="1440"/>
          </w:tcPr>
          <w:p>
            <w:r>
              <w:rPr>
                <w:rFonts w:ascii="Calibri" w:hAnsi="Calibri"/>
                <w:sz w:val="22"/>
              </w:rPr>
              <w:t>−0.3%</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$5.417B</w:t>
            </w:r>
          </w:p>
        </w:tc>
        <w:tc>
          <w:tcPr>
            <w:tcW w:type="dxa" w:w="1440"/>
          </w:tcPr>
          <w:p>
            <w:r>
              <w:rPr>
                <w:rFonts w:ascii="Calibri" w:hAnsi="Calibri"/>
                <w:sz w:val="22"/>
              </w:rPr>
              <w:t>$5.261B</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$0.55</w:t>
            </w:r>
          </w:p>
        </w:tc>
        <w:tc>
          <w:tcPr>
            <w:tcW w:type="dxa" w:w="1440"/>
          </w:tcPr>
          <w:p>
            <w:r>
              <w:rPr>
                <w:rFonts w:ascii="Calibri" w:hAnsi="Calibri"/>
                <w:sz w:val="22"/>
              </w:rPr>
              <w:t>$0.551</w:t>
            </w:r>
          </w:p>
        </w:tc>
        <w:tc>
          <w:tcPr>
            <w:tcW w:type="dxa" w:w="1440"/>
          </w:tcPr>
          <w:p>
            <w:r>
              <w:rPr>
                <w:rFonts w:ascii="Calibri" w:hAnsi="Calibri"/>
                <w:sz w:val="22"/>
              </w:rPr>
              <w:t>−0.2%</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$5.510B</w:t>
            </w:r>
          </w:p>
        </w:tc>
        <w:tc>
          <w:tcPr>
            <w:tcW w:type="dxa" w:w="1440"/>
          </w:tcPr>
          <w:p>
            <w:r>
              <w:rPr>
                <w:rFonts w:ascii="Calibri" w:hAnsi="Calibri"/>
                <w:sz w:val="22"/>
              </w:rPr>
              <w:t>$5.418B</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$0.492</w:t>
            </w:r>
          </w:p>
        </w:tc>
        <w:tc>
          <w:tcPr>
            <w:tcW w:type="dxa" w:w="1440"/>
          </w:tcPr>
          <w:p>
            <w:r>
              <w:rPr>
                <w:rFonts w:ascii="Calibri" w:hAnsi="Calibri"/>
                <w:sz w:val="22"/>
              </w:rPr>
              <w:t>+18.0%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$5.600B</w:t>
            </w:r>
          </w:p>
        </w:tc>
        <w:tc>
          <w:tcPr>
            <w:tcW w:type="dxa" w:w="1440"/>
          </w:tcPr>
          <w:p>
            <w:r>
              <w:rPr>
                <w:rFonts w:ascii="Calibri" w:hAnsi="Calibri"/>
                <w:sz w:val="22"/>
              </w:rPr>
              <w:t>$5.385B</w:t>
            </w:r>
          </w:p>
        </w:tc>
        <w:tc>
          <w:tcPr>
            <w:tcW w:type="dxa" w:w="1440"/>
          </w:tcPr>
          <w:p>
            <w:r>
              <w:rPr>
                <w:rFonts w:ascii="Calibri" w:hAnsi="Calibri"/>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$0.69</w:t>
            </w:r>
          </w:p>
        </w:tc>
        <w:tc>
          <w:tcPr>
            <w:tcW w:type="dxa" w:w="1440"/>
          </w:tcPr>
          <w:p>
            <w:r>
              <w:rPr>
                <w:rFonts w:ascii="Calibri" w:hAnsi="Calibri"/>
                <w:sz w:val="22"/>
              </w:rPr>
              <w:t>$0.549</w:t>
            </w:r>
          </w:p>
        </w:tc>
        <w:tc>
          <w:tcPr>
            <w:tcW w:type="dxa" w:w="1440"/>
          </w:tcPr>
          <w:p>
            <w:r>
              <w:rPr>
                <w:rFonts w:ascii="Calibri" w:hAnsi="Calibri"/>
                <w:sz w:val="22"/>
              </w:rPr>
              <w:t>+25.7%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$5.657B</w:t>
            </w:r>
          </w:p>
        </w:tc>
        <w:tc>
          <w:tcPr>
            <w:tcW w:type="dxa" w:w="1440"/>
          </w:tcPr>
          <w:p>
            <w:r>
              <w:rPr>
                <w:rFonts w:ascii="Calibri" w:hAnsi="Calibri"/>
                <w:sz w:val="22"/>
              </w:rPr>
              <w:t>$5.428B</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$0.55</w:t>
            </w:r>
          </w:p>
        </w:tc>
        <w:tc>
          <w:tcPr>
            <w:tcW w:type="dxa" w:w="1440"/>
          </w:tcPr>
          <w:p>
            <w:r>
              <w:rPr>
                <w:rFonts w:ascii="Calibri" w:hAnsi="Calibri"/>
                <w:sz w:val="22"/>
              </w:rPr>
              <w:t>$0.496</w:t>
            </w:r>
          </w:p>
        </w:tc>
        <w:tc>
          <w:tcPr>
            <w:tcW w:type="dxa" w:w="1440"/>
          </w:tcPr>
          <w:p>
            <w:r>
              <w:rPr>
                <w:rFonts w:ascii="Calibri" w:hAnsi="Calibri"/>
                <w:sz w:val="22"/>
              </w:rPr>
              <w:t>+10.9%</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$5.402B</w:t>
            </w:r>
          </w:p>
        </w:tc>
        <w:tc>
          <w:tcPr>
            <w:tcW w:type="dxa" w:w="1440"/>
          </w:tcPr>
          <w:p>
            <w:r>
              <w:rPr>
                <w:rFonts w:ascii="Calibri" w:hAnsi="Calibri"/>
                <w:sz w:val="22"/>
              </w:rPr>
              <w:t>$5.300B</w:t>
            </w:r>
          </w:p>
        </w:tc>
        <w:tc>
          <w:tcPr>
            <w:tcW w:type="dxa" w:w="1440"/>
          </w:tcPr>
          <w:p>
            <w:r>
              <w:rPr>
                <w:rFonts w:ascii="Calibri" w:hAnsi="Calibri"/>
                <w:sz w:val="22"/>
              </w:rPr>
              <w:t>+1.9%</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HAL has beaten EPS in 5 of the last 8 quarters and revenue in 5 of 8, with the most recent four quarters showing consistent beats — suggesting management has been guiding conservatively. However, the Middle East disruption introduces a new source of variance that makes the recent beat cadence less predictive for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(April 21, 2026). Management’s tone has shifted </w:t>
      </w:r>
      <w:r>
        <w:rPr>
          <w:rFonts w:ascii="Calibri" w:hAnsi="Calibri"/>
          <w:b/>
          <w:color w:val="525866"/>
          <w:sz w:val="22"/>
        </w:rPr>
        <w:t>more bullish on the medium-term</w:t>
      </w:r>
      <w:r>
        <w:rPr>
          <w:rFonts w:ascii="Calibri" w:hAnsi="Calibri"/>
          <w:color w:val="525866"/>
          <w:sz w:val="22"/>
        </w:rPr>
        <w:t xml:space="preserve"> (structural oil market tightening, energy security tailwinds) while remaining cautious on near-term Middle East timing.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C&amp;P Revenue (Q2 seq.)</w:t>
            </w:r>
          </w:p>
        </w:tc>
        <w:tc>
          <w:tcPr>
            <w:tcW w:type="dxa" w:w="1728"/>
          </w:tcPr>
          <w:p>
            <w:r>
              <w:rPr>
                <w:rFonts w:ascii="Calibri" w:hAnsi="Calibri"/>
                <w:sz w:val="22"/>
              </w:rPr>
              <w:t>+4% to +6% sequential</w:t>
            </w:r>
          </w:p>
        </w:tc>
        <w:tc>
          <w:tcPr>
            <w:tcW w:type="dxa" w:w="1728"/>
          </w:tcPr>
          <w:p>
            <w:r>
              <w:rPr>
                <w:rFonts w:ascii="Calibri" w:hAnsi="Calibri"/>
                <w:sz w:val="22"/>
              </w:rPr>
              <w:t>—</w:t>
            </w:r>
          </w:p>
        </w:tc>
        <w:tc>
          <w:tcPr>
            <w:tcW w:type="dxa" w:w="1728"/>
          </w:tcPr>
          <w:p>
            <w:r>
              <w:rPr>
                <w:rFonts w:ascii="Calibri" w:hAnsi="Calibri"/>
                <w:sz w:val="22"/>
              </w:rPr>
              <w:t>~+5% seq. implied by consensus</w:t>
            </w:r>
          </w:p>
        </w:tc>
        <w:tc>
          <w:tcPr>
            <w:tcW w:type="dxa" w:w="1728"/>
          </w:tcPr>
          <w:p>
            <w:r>
              <w:rPr>
                <w:rFonts w:ascii="Calibri" w:hAnsi="Calibri"/>
                <w:sz w:val="22"/>
              </w:rPr>
              <w:t>Unchanged; consensus tracking midpoint</w:t>
            </w:r>
          </w:p>
        </w:tc>
      </w:tr>
      <w:tr>
        <w:tc>
          <w:tcPr>
            <w:tcW w:type="dxa" w:w="1728"/>
          </w:tcPr>
          <w:p>
            <w:r>
              <w:rPr>
                <w:rFonts w:ascii="Calibri" w:hAnsi="Calibri"/>
                <w:sz w:val="22"/>
              </w:rPr>
              <w:t>D&amp;E Revenue (Q2 seq.)</w:t>
            </w:r>
          </w:p>
        </w:tc>
        <w:tc>
          <w:tcPr>
            <w:tcW w:type="dxa" w:w="1728"/>
          </w:tcPr>
          <w:p>
            <w:r>
              <w:rPr>
                <w:rFonts w:ascii="Calibri" w:hAnsi="Calibri"/>
                <w:sz w:val="22"/>
              </w:rPr>
              <w:t>Flat to −2% sequential</w:t>
            </w:r>
          </w:p>
        </w:tc>
        <w:tc>
          <w:tcPr>
            <w:tcW w:type="dxa" w:w="1728"/>
          </w:tcPr>
          <w:p>
            <w:r>
              <w:rPr>
                <w:rFonts w:ascii="Calibri" w:hAnsi="Calibri"/>
                <w:sz w:val="22"/>
              </w:rPr>
              <w:t>—</w:t>
            </w:r>
          </w:p>
        </w:tc>
        <w:tc>
          <w:tcPr>
            <w:tcW w:type="dxa" w:w="1728"/>
          </w:tcPr>
          <w:p>
            <w:r>
              <w:rPr>
                <w:rFonts w:ascii="Calibri" w:hAnsi="Calibri"/>
                <w:sz w:val="22"/>
              </w:rPr>
              <w:t>~−1% seq. implied by consensus</w:t>
            </w:r>
          </w:p>
        </w:tc>
        <w:tc>
          <w:tcPr>
            <w:tcW w:type="dxa" w:w="1728"/>
          </w:tcPr>
          <w:p>
            <w:r>
              <w:rPr>
                <w:rFonts w:ascii="Calibri" w:hAnsi="Calibri"/>
                <w:sz w:val="22"/>
              </w:rPr>
              <w:t>Unchanged; seasonal software roll-off cited</w:t>
            </w:r>
          </w:p>
        </w:tc>
      </w:tr>
      <w:tr>
        <w:tc>
          <w:tcPr>
            <w:tcW w:type="dxa" w:w="1728"/>
          </w:tcPr>
          <w:p>
            <w:r>
              <w:rPr>
                <w:rFonts w:ascii="Calibri" w:hAnsi="Calibri"/>
                <w:sz w:val="22"/>
              </w:rPr>
              <w:t>C&amp;P Margin (Q2)</w:t>
            </w:r>
          </w:p>
        </w:tc>
        <w:tc>
          <w:tcPr>
            <w:tcW w:type="dxa" w:w="1728"/>
          </w:tcPr>
          <w:p>
            <w:r>
              <w:rPr>
                <w:rFonts w:ascii="Calibri" w:hAnsi="Calibri"/>
                <w:sz w:val="22"/>
              </w:rPr>
              <w:t>+50 to +100 bps sequential</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w:t>
            </w:r>
          </w:p>
        </w:tc>
      </w:tr>
      <w:tr>
        <w:tc>
          <w:tcPr>
            <w:tcW w:type="dxa" w:w="1728"/>
          </w:tcPr>
          <w:p>
            <w:r>
              <w:rPr>
                <w:rFonts w:ascii="Calibri" w:hAnsi="Calibri"/>
                <w:sz w:val="22"/>
              </w:rPr>
              <w:t>D&amp;E Margin (Q2)</w:t>
            </w:r>
          </w:p>
        </w:tc>
        <w:tc>
          <w:tcPr>
            <w:tcW w:type="dxa" w:w="1728"/>
          </w:tcPr>
          <w:p>
            <w:r>
              <w:rPr>
                <w:rFonts w:ascii="Calibri" w:hAnsi="Calibri"/>
                <w:sz w:val="22"/>
              </w:rPr>
              <w:t>−75 to −125 bps sequential</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software sales roll-off driver</w:t>
            </w:r>
          </w:p>
        </w:tc>
      </w:tr>
      <w:tr>
        <w:tc>
          <w:tcPr>
            <w:tcW w:type="dxa" w:w="1728"/>
          </w:tcPr>
          <w:p>
            <w:r>
              <w:rPr>
                <w:rFonts w:ascii="Calibri" w:hAnsi="Calibri"/>
                <w:sz w:val="22"/>
              </w:rPr>
              <w:t>Middle East EPS Impact (Q2)</w:t>
            </w:r>
          </w:p>
        </w:tc>
        <w:tc>
          <w:tcPr>
            <w:tcW w:type="dxa" w:w="1728"/>
          </w:tcPr>
          <w:p>
            <w:r>
              <w:rPr>
                <w:rFonts w:ascii="Calibri" w:hAnsi="Calibri"/>
                <w:sz w:val="22"/>
              </w:rPr>
              <w:t>$0.07–$0.09/share headwind embedded; +$0.03–$0.05 additional risk if offshore restart delayed</w:t>
            </w:r>
          </w:p>
        </w:tc>
        <w:tc>
          <w:tcPr>
            <w:tcW w:type="dxa" w:w="1728"/>
          </w:tcPr>
          <w:p>
            <w:r>
              <w:rPr>
                <w:rFonts w:ascii="Calibri" w:hAnsi="Calibri"/>
                <w:sz w:val="22"/>
              </w:rPr>
              <w:t>—</w:t>
            </w:r>
          </w:p>
        </w:tc>
        <w:tc>
          <w:tcPr>
            <w:tcW w:type="dxa" w:w="1728"/>
          </w:tcPr>
          <w:p>
            <w:r>
              <w:rPr>
                <w:rFonts w:ascii="Calibri" w:hAnsi="Calibri"/>
                <w:sz w:val="22"/>
              </w:rPr>
              <w:t>Embedded in $0.54 consensus</w:t>
            </w:r>
          </w:p>
        </w:tc>
        <w:tc>
          <w:tcPr>
            <w:tcW w:type="dxa" w:w="1728"/>
          </w:tcPr>
          <w:p>
            <w:r>
              <w:rPr>
                <w:rFonts w:ascii="Calibri" w:hAnsi="Calibri"/>
                <w:sz w:val="22"/>
              </w:rPr>
              <w:t>Unchanged; key risk remains restart timing</w:t>
            </w:r>
          </w:p>
        </w:tc>
      </w:tr>
      <w:tr>
        <w:tc>
          <w:tcPr>
            <w:tcW w:type="dxa" w:w="1728"/>
          </w:tcPr>
          <w:p>
            <w:r>
              <w:rPr>
                <w:rFonts w:ascii="Calibri" w:hAnsi="Calibri"/>
                <w:sz w:val="22"/>
              </w:rPr>
              <w:t>Full-Year CapEx</w:t>
            </w:r>
          </w:p>
        </w:tc>
        <w:tc>
          <w:tcPr>
            <w:tcW w:type="dxa" w:w="1728"/>
          </w:tcPr>
          <w:p>
            <w:r>
              <w:rPr>
                <w:rFonts w:ascii="Calibri" w:hAnsi="Calibri"/>
                <w:sz w:val="22"/>
              </w:rPr>
              <w:t>~$1.1B (raised from initial $1.0B due to delayed equipment delivery)</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Unchanged; VoltaGrid CapEx excluded from 2026 guidance</w:t>
            </w:r>
          </w:p>
        </w:tc>
      </w:tr>
      <w:tr>
        <w:tc>
          <w:tcPr>
            <w:tcW w:type="dxa" w:w="1728"/>
          </w:tcPr>
          <w:p>
            <w:r>
              <w:rPr>
                <w:rFonts w:ascii="Calibri" w:hAnsi="Calibri"/>
                <w:sz w:val="22"/>
              </w:rPr>
              <w:t>Buybacks (Q2 vs. Q1)</w:t>
            </w:r>
          </w:p>
        </w:tc>
        <w:tc>
          <w:tcPr>
            <w:tcW w:type="dxa" w:w="1728"/>
          </w:tcPr>
          <w:p>
            <w:r>
              <w:rPr>
                <w:rFonts w:ascii="Calibri" w:hAnsi="Calibri"/>
                <w:sz w:val="22"/>
              </w:rPr>
              <w:t>Q2 higher than Q1 ($100M); H2 higher than H1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H2 acceleration expected</w:t>
            </w:r>
          </w:p>
        </w:tc>
      </w:tr>
      <w:tr>
        <w:tc>
          <w:tcPr>
            <w:tcW w:type="dxa" w:w="1728"/>
          </w:tcPr>
          <w:p>
            <w:r>
              <w:rPr>
                <w:rFonts w:ascii="Calibri" w:hAnsi="Calibri"/>
                <w:sz w:val="22"/>
              </w:rPr>
              <w:t>Intl. Revenue ex-ME (FY2026)</w:t>
            </w:r>
          </w:p>
        </w:tc>
        <w:tc>
          <w:tcPr>
            <w:tcW w:type="dxa" w:w="1728"/>
          </w:tcPr>
          <w:p>
            <w:r>
              <w:rPr>
                <w:rFonts w:ascii="Calibri" w:hAnsi="Calibri"/>
                <w:sz w:val="22"/>
              </w:rPr>
              <w:t>Mid- to high-single-digit YoY growth; led by Latin America</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Unchanged; Latin America, Norway, West Africa cited as growth engines</w:t>
            </w:r>
          </w:p>
        </w:tc>
      </w:tr>
      <w:tr>
        <w:tc>
          <w:tcPr>
            <w:tcW w:type="dxa" w:w="1728"/>
          </w:tcPr>
          <w:p>
            <w:r>
              <w:rPr>
                <w:rFonts w:ascii="Calibri" w:hAnsi="Calibri"/>
                <w:sz w:val="22"/>
              </w:rPr>
              <w:t>Effective Tax Rate (Q2 &amp; FY)</w:t>
            </w:r>
          </w:p>
        </w:tc>
        <w:tc>
          <w:tcPr>
            <w:tcW w:type="dxa" w:w="1728"/>
          </w:tcPr>
          <w:p>
            <w:r>
              <w:rPr>
                <w:rFonts w:ascii="Calibri" w:hAnsi="Calibri"/>
                <w:sz w:val="22"/>
              </w:rPr>
              <w:t>~20%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up from 18.5% in Q1</w:t>
            </w:r>
          </w:p>
        </w:tc>
      </w:tr>
    </w:tbl>
    <w:p>
      <w:r>
        <w:rPr>
          <w:rFonts w:ascii="Calibri" w:hAnsi="Calibri"/>
          <w:i/>
          <w:color w:val="525866"/>
          <w:sz w:val="22"/>
        </w:rPr>
        <w:t>Source: HAL Q1 2026 Earnings Call Transcript (April 21,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Q1 print — Q2 EPS drifted only $0.001 and Q2 revenue moved less than $10M over the quarter. FY2026 estimates have actually </w:t>
      </w:r>
      <w:r>
        <w:rPr>
          <w:rFonts w:ascii="Calibri" w:hAnsi="Calibri"/>
          <w:b/>
          <w:color w:val="525866"/>
          <w:sz w:val="22"/>
        </w:rPr>
        <w:t>ticked up slightly</w:t>
      </w:r>
      <w:r>
        <w:rPr>
          <w:rFonts w:ascii="Calibri" w:hAnsi="Calibri"/>
          <w:color w:val="525866"/>
          <w:sz w:val="22"/>
        </w:rPr>
        <w:t xml:space="preserve"> (+$0.016 EPS, +$47M revenue), suggesting the Street is not pricing in incremental Middle East deterioration beyond what management guided. Estimates are tracking guidance, not diverging — the gap is not a risk or a cushion, it is a reflection of management’s own embedded headwind.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Print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$0.542</w:t>
            </w:r>
          </w:p>
        </w:tc>
        <w:tc>
          <w:tcPr>
            <w:tcW w:type="dxa" w:w="1080"/>
          </w:tcPr>
          <w:p>
            <w:r>
              <w:rPr>
                <w:rFonts w:ascii="Calibri" w:hAnsi="Calibri"/>
                <w:sz w:val="22"/>
              </w:rPr>
              <w:t>$0.541</w:t>
            </w:r>
          </w:p>
        </w:tc>
        <w:tc>
          <w:tcPr>
            <w:tcW w:type="dxa" w:w="1080"/>
          </w:tcPr>
          <w:p>
            <w:r>
              <w:rPr>
                <w:rFonts w:ascii="Calibri" w:hAnsi="Calibri"/>
                <w:sz w:val="22"/>
              </w:rPr>
              <w:t>−0.2%</w:t>
            </w:r>
          </w:p>
        </w:tc>
        <w:tc>
          <w:tcPr>
            <w:tcW w:type="dxa" w:w="1080"/>
          </w:tcPr>
          <w:p>
            <w:r>
              <w:rPr>
                <w:rFonts w:ascii="Calibri" w:hAnsi="Calibri"/>
                <w:sz w:val="22"/>
              </w:rPr>
              <w:t>$0.07–$0.09 ME headwind embedded in divisional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guidance</w:t>
            </w:r>
          </w:p>
        </w:tc>
      </w:tr>
      <w:tr>
        <w:tc>
          <w:tcPr>
            <w:tcW w:type="dxa" w:w="1080"/>
          </w:tcPr>
          <w:p>
            <w:r>
              <w:rPr>
                <w:rFonts w:ascii="Calibri" w:hAnsi="Calibri"/>
                <w:sz w:val="22"/>
              </w:rPr>
              <w:t>Total Revenue — Q2 2026</w:t>
            </w:r>
          </w:p>
        </w:tc>
        <w:tc>
          <w:tcPr>
            <w:tcW w:type="dxa" w:w="1080"/>
          </w:tcPr>
          <w:p>
            <w:r>
              <w:rPr>
                <w:rFonts w:ascii="Calibri" w:hAnsi="Calibri"/>
                <w:sz w:val="22"/>
              </w:rPr>
              <w:t>$5.522B</w:t>
            </w:r>
          </w:p>
        </w:tc>
        <w:tc>
          <w:tcPr>
            <w:tcW w:type="dxa" w:w="1080"/>
          </w:tcPr>
          <w:p>
            <w:r>
              <w:rPr>
                <w:rFonts w:ascii="Calibri" w:hAnsi="Calibri"/>
                <w:sz w:val="22"/>
              </w:rPr>
              <w:t>$5.514B</w:t>
            </w:r>
          </w:p>
        </w:tc>
        <w:tc>
          <w:tcPr>
            <w:tcW w:type="dxa" w:w="1080"/>
          </w:tcPr>
          <w:p>
            <w:r>
              <w:rPr>
                <w:rFonts w:ascii="Calibri" w:hAnsi="Calibri"/>
                <w:sz w:val="22"/>
              </w:rPr>
              <w:t>−0.1%</w:t>
            </w:r>
          </w:p>
        </w:tc>
        <w:tc>
          <w:tcPr>
            <w:tcW w:type="dxa" w:w="1080"/>
          </w:tcPr>
          <w:p>
            <w:r>
              <w:rPr>
                <w:rFonts w:ascii="Calibri" w:hAnsi="Calibri"/>
                <w:sz w:val="22"/>
              </w:rPr>
              <w:t>C&amp;P +4–6% seq; D&amp;E flat to −2% seq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guidance midpoint</w:t>
            </w:r>
          </w:p>
        </w:tc>
      </w:tr>
      <w:tr>
        <w:tc>
          <w:tcPr>
            <w:tcW w:type="dxa" w:w="1080"/>
          </w:tcPr>
          <w:p>
            <w:r>
              <w:rPr>
                <w:rFonts w:ascii="Calibri" w:hAnsi="Calibri"/>
                <w:sz w:val="22"/>
              </w:rPr>
              <w:t>Adj. EPS — FY2026</w:t>
            </w:r>
          </w:p>
        </w:tc>
        <w:tc>
          <w:tcPr>
            <w:tcW w:type="dxa" w:w="1080"/>
          </w:tcPr>
          <w:p>
            <w:r>
              <w:rPr>
                <w:rFonts w:ascii="Calibri" w:hAnsi="Calibri"/>
                <w:sz w:val="22"/>
              </w:rPr>
              <w:t>$2.336</w:t>
            </w:r>
          </w:p>
        </w:tc>
        <w:tc>
          <w:tcPr>
            <w:tcW w:type="dxa" w:w="1080"/>
          </w:tcPr>
          <w:p>
            <w:r>
              <w:rPr>
                <w:rFonts w:ascii="Calibri" w:hAnsi="Calibri"/>
                <w:sz w:val="22"/>
              </w:rPr>
              <w:t>$2.352</w:t>
            </w:r>
          </w:p>
        </w:tc>
        <w:tc>
          <w:tcPr>
            <w:tcW w:type="dxa" w:w="1080"/>
          </w:tcPr>
          <w:p>
            <w:r>
              <w:rPr>
                <w:rFonts w:ascii="Calibri" w:hAnsi="Calibri"/>
                <w:b/>
                <w:color w:val="30A46C"/>
                <w:sz w:val="22"/>
              </w:rPr>
              <w:t>+0.7%</w:t>
            </w:r>
          </w:p>
        </w:tc>
        <w:tc>
          <w:tcPr>
            <w:tcW w:type="dxa" w:w="1080"/>
          </w:tcPr>
          <w:p>
            <w:r>
              <w:rPr>
                <w:rFonts w:ascii="Calibri" w:hAnsi="Calibri"/>
                <w:sz w:val="22"/>
              </w:rPr>
              <w:t>No explicit FY EPS guidance provided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$22.227B</w:t>
            </w:r>
          </w:p>
        </w:tc>
        <w:tc>
          <w:tcPr>
            <w:tcW w:type="dxa" w:w="1080"/>
          </w:tcPr>
          <w:p>
            <w:r>
              <w:rPr>
                <w:rFonts w:ascii="Calibri" w:hAnsi="Calibri"/>
                <w:sz w:val="22"/>
              </w:rPr>
              <w:t>$22.327B</w:t>
            </w:r>
          </w:p>
        </w:tc>
        <w:tc>
          <w:tcPr>
            <w:tcW w:type="dxa" w:w="1080"/>
          </w:tcPr>
          <w:p>
            <w:r>
              <w:rPr>
                <w:rFonts w:ascii="Calibri" w:hAnsi="Calibri"/>
                <w:b/>
                <w:color w:val="30A46C"/>
                <w:sz w:val="22"/>
              </w:rPr>
              <w:t>+0.5%</w:t>
            </w:r>
          </w:p>
        </w:tc>
        <w:tc>
          <w:tcPr>
            <w:tcW w:type="dxa" w:w="1080"/>
          </w:tcPr>
          <w:p>
            <w:r>
              <w:rPr>
                <w:rFonts w:ascii="Calibri" w:hAnsi="Calibri"/>
                <w:sz w:val="22"/>
              </w:rPr>
              <w:t>No explicit FY revenue guidance provided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slight upward drift in FY2026 estimates despite the Middle East headwind reflects the Street’s growing confidence in the H2 recovery thesis — particularly Latin America growth and North America frac market tightening. The stability of Q2 estimates confirms the market has fully digested management’s embedded guidance.</w:t>
      </w:r>
    </w:p>
    <w:p>
      <w:r>
        <w:rPr>
          <w:rFonts w:ascii="Calibri" w:hAnsi="Calibri"/>
          <w:i/>
          <w:color w:val="525866"/>
          <w:sz w:val="22"/>
        </w:rPr>
        <w:t>Source: Visible Alpha Consensus and Actuals Data; HAL Q1 2026 Earnings Call Transcript (April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HAL’s underperformance since late May is </w:t>
      </w:r>
      <w:r>
        <w:rPr>
          <w:rFonts w:ascii="Calibri" w:hAnsi="Calibri"/>
          <w:b/>
          <w:color w:val="525866"/>
          <w:sz w:val="22"/>
        </w:rPr>
        <w:t>multiple-driven, not earnings-driven</w:t>
      </w:r>
      <w:r>
        <w:rPr>
          <w:rFonts w:ascii="Calibri" w:hAnsi="Calibri"/>
          <w:color w:val="525866"/>
          <w:sz w:val="22"/>
        </w:rPr>
        <w:t xml:space="preserve"> — EV/EBITDA compressed from ~9.2x (3 months ago) to ~8.0x today as the market re-rated the Middle East risk premium. The stock is down ~8% from its post-Q1 peak while the S&amp;P 500 is up ~5%, suggesting sentiment, not estimate revisions, is the primary driver.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HAL vs. XES (SPDR S&amp;P Oil &amp; Gas Equipment &amp; Services ETF) vs. S&amp;P 500 (SPY) — Indexed to 100 at Q1 2026 Earnings Date (April 21, 2026). Source: Yahoo Finance / Stock Price Data.</w:t>
      </w:r>
    </w:p>
    <w:p>
      <w:r>
        <w:rPr>
          <w:rFonts w:ascii="Calibri" w:hAnsi="Calibri"/>
          <w:b/>
          <w:color w:val="525866"/>
          <w:sz w:val="22"/>
        </w:rPr>
        <w:t xml:space="preserve">Sector ETF: </w:t>
      </w:r>
      <w:r>
        <w:rPr>
          <w:rFonts w:ascii="Calibri" w:hAnsi="Calibri"/>
          <w:color w:val="525866"/>
          <w:sz w:val="22"/>
        </w:rPr>
        <w:t>XES (SPDR S&amp;P Oil &amp; Gas Equipment &amp; Services ETF) — appropriate sub-sector benchmark for HAL as a diversified oilfield services provider.</w:t>
      </w:r>
    </w:p>
    <w:p>
      <w:r>
        <w:rPr>
          <w:rFonts w:ascii="Calibri" w:hAnsi="Calibri"/>
          <w:color w:val="525866"/>
          <w:sz w:val="22"/>
        </w:rPr>
        <w:t xml:space="preserve">Performance summary since Q1 earnings (April 21, 2026 → July 20, 2026): HAL </w:t>
      </w:r>
      <w:r>
        <w:rPr>
          <w:rFonts w:ascii="Calibri" w:hAnsi="Calibri"/>
          <w:b/>
          <w:color w:val="E5484D"/>
          <w:sz w:val="22"/>
        </w:rPr>
        <w:t>−8.0%</w:t>
      </w:r>
      <w:r>
        <w:rPr>
          <w:rFonts w:ascii="Calibri" w:hAnsi="Calibri"/>
          <w:color w:val="525866"/>
          <w:sz w:val="22"/>
        </w:rPr>
        <w:t xml:space="preserve"> | XES </w:t>
      </w:r>
      <w:r>
        <w:rPr>
          <w:rFonts w:ascii="Calibri" w:hAnsi="Calibri"/>
          <w:b/>
          <w:color w:val="E5484D"/>
          <w:sz w:val="22"/>
        </w:rPr>
        <w:t>−5.8%</w:t>
      </w:r>
      <w:r>
        <w:rPr>
          <w:rFonts w:ascii="Calibri" w:hAnsi="Calibri"/>
          <w:color w:val="525866"/>
          <w:sz w:val="22"/>
        </w:rPr>
        <w:t xml:space="preserve"> | SPY </w:t>
      </w:r>
      <w:r>
        <w:rPr>
          <w:rFonts w:ascii="Calibri" w:hAnsi="Calibri"/>
          <w:b/>
          <w:color w:val="30A46C"/>
          <w:sz w:val="22"/>
        </w:rPr>
        <w:t>+5.4%</w:t>
      </w:r>
      <w:r>
        <w:rPr>
          <w:rFonts w:ascii="Calibri" w:hAnsi="Calibri"/>
          <w:color w:val="525866"/>
          <w:sz w:val="22"/>
        </w:rPr>
        <w:t>. HAL peaked at ~$42.30 on April 30 before selling off sharply through late June as Middle East tensions re-escalated and oil prices whipsawed. The stock found a floor near $33–$34 in late June/early July before recovering modestly to ~$35 as Brent crude crossed $90/bbl. The NTM EV/EBITDA multiple has compressed from ~9.2x (3 months ago) to ~8.0x today, with the stock trading at 13.1x NTM P/E — a discount to historical averages, reflecting the market’s uncertainty around Middle East recovery timing rather than any fundamental deterioration in the business.</w:t>
      </w:r>
    </w:p>
    <w:p>
      <w:r>
        <w:rPr>
          <w:rFonts w:ascii="Calibri" w:hAnsi="Calibri"/>
          <w:i/>
          <w:color w:val="525866"/>
          <w:sz w:val="22"/>
        </w:rPr>
        <w:t>Source: Yahoo Finance / Stock Price Data; HAL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re-escalation of U.S.–Iran hostilities</w:t>
      </w:r>
      <w:r>
        <w:rPr>
          <w:rFonts w:ascii="Calibri" w:hAnsi="Calibri"/>
          <w:color w:val="525866"/>
          <w:sz w:val="22"/>
        </w:rPr>
        <w:t xml:space="preserve"> and the Strait of Hormuz disruption, which has both hurt HAL’s near-term Middle East revenue and created a structural tailwind for upstream investment globally. Brent crude crossing $90/bbl is a net positive for HAL’s medium-term activity outlook.</w:t>
      </w:r>
    </w:p>
    <w:p>
      <w:pPr>
        <w:pStyle w:val="ListBullet"/>
        <w:ind w:left="360" w:hanging="360"/>
      </w:pPr>
      <w:r>
        <w:rPr>
          <w:rFonts w:ascii="Calibri" w:hAnsi="Calibri"/>
          <w:b/>
          <w:color w:val="525866"/>
          <w:sz w:val="22"/>
        </w:rPr>
        <w:t>July 7–20, 2026 — U.S.–Iran hostilities re-escalate; Strait of Hormuz remains disrupted.</w:t>
      </w:r>
      <w:r>
        <w:rPr>
          <w:rFonts w:ascii="Calibri" w:hAnsi="Calibri"/>
          <w:color w:val="525866"/>
          <w:sz w:val="22"/>
        </w:rPr>
        <w:t xml:space="preserve"> The U.S. launched multiple rounds of airstrikes on Iranian coastal sites and reinstated its naval blockade of Iranian ports. Iran retaliated with attacks on Kuwait and Bahrain infrastructure. Vessel traffic through Hormuz fell sharply (14 ships on July 13 vs. 37 a week prior per Kpler). </w:t>
      </w:r>
      <w:r>
        <w:rPr>
          <w:rFonts w:ascii="Calibri" w:hAnsi="Calibri"/>
          <w:b/>
          <w:color w:val="525866"/>
          <w:sz w:val="22"/>
        </w:rPr>
        <w:t xml:space="preserve">Implication: </w:t>
      </w:r>
      <w:r>
        <w:rPr>
          <w:rFonts w:ascii="Calibri" w:hAnsi="Calibri"/>
          <w:color w:val="525866"/>
          <w:sz w:val="22"/>
        </w:rPr>
        <w:t>Extends the Middle East headwind that management already embedded in Q2 guidance; the assumed mid-quarter offshore restart may not have materialized, creating downside risk of $0.03–$0.05 to EPS. However, higher oil prices ($90+ Brent) support the medium-term upstream investment thesis. (Source: News Digest, July 7–20, 2026)</w:t>
      </w:r>
    </w:p>
    <w:p>
      <w:pPr>
        <w:pStyle w:val="ListBullet"/>
        <w:ind w:left="360" w:hanging="360"/>
      </w:pPr>
      <w:r>
        <w:rPr>
          <w:rFonts w:ascii="Calibri" w:hAnsi="Calibri"/>
          <w:b/>
          <w:color w:val="525866"/>
          <w:sz w:val="22"/>
        </w:rPr>
        <w:t>July 13, 2026 — Trump proposes 20% fee on Hormuz cargo.</w:t>
      </w:r>
      <w:r>
        <w:rPr>
          <w:rFonts w:ascii="Calibri" w:hAnsi="Calibri"/>
          <w:color w:val="525866"/>
          <w:sz w:val="22"/>
        </w:rPr>
        <w:t xml:space="preserve"> Analysts estimate this would add ~$16/bbl to oil shipped through the strait. Citi noted the risk that Iran walks away from the MOU until after U.S. mid-terms, implying “higher for longer” oil prices. </w:t>
      </w:r>
      <w:r>
        <w:rPr>
          <w:rFonts w:ascii="Calibri" w:hAnsi="Calibri"/>
          <w:b/>
          <w:color w:val="525866"/>
          <w:sz w:val="22"/>
        </w:rPr>
        <w:t xml:space="preserve">Implication: </w:t>
      </w:r>
      <w:r>
        <w:rPr>
          <w:rFonts w:ascii="Calibri" w:hAnsi="Calibri"/>
          <w:color w:val="525866"/>
          <w:sz w:val="22"/>
        </w:rPr>
        <w:t>Prolongs the disruption scenario; bullish for oil prices but negative for HAL’s near-term Middle East activity. (Source: News Digest, July 13, 2026)</w:t>
      </w:r>
    </w:p>
    <w:p>
      <w:pPr>
        <w:pStyle w:val="ListBullet"/>
        <w:ind w:left="360" w:hanging="360"/>
      </w:pPr>
      <w:r>
        <w:rPr>
          <w:rFonts w:ascii="Calibri" w:hAnsi="Calibri"/>
          <w:b/>
          <w:color w:val="525866"/>
          <w:sz w:val="22"/>
        </w:rPr>
        <w:t>July 19–20, 2026 — Brent crude crosses $90/bbl.</w:t>
      </w:r>
      <w:r>
        <w:rPr>
          <w:rFonts w:ascii="Calibri" w:hAnsi="Calibri"/>
          <w:color w:val="525866"/>
          <w:sz w:val="22"/>
        </w:rPr>
        <w:t xml:space="preserve"> First time since mid-June, driven by escalating U.S.–Iran hostilities. National average U.S. gas price reached $4/gallon (AAA). </w:t>
      </w:r>
      <w:r>
        <w:rPr>
          <w:rFonts w:ascii="Calibri" w:hAnsi="Calibri"/>
          <w:b/>
          <w:color w:val="525866"/>
          <w:sz w:val="22"/>
        </w:rPr>
        <w:t xml:space="preserve">Implication: </w:t>
      </w:r>
      <w:r>
        <w:rPr>
          <w:rFonts w:ascii="Calibri" w:hAnsi="Calibri"/>
          <w:color w:val="525866"/>
          <w:sz w:val="22"/>
        </w:rPr>
        <w:t>Higher commodity prices support HAL’s customer spending intentions and validate management’s “structurally tighter oil market” thesis from the Q1 call. (Source: News Digest, July 19–20, 2026)</w:t>
      </w:r>
    </w:p>
    <w:p>
      <w:pPr>
        <w:pStyle w:val="ListBullet"/>
        <w:ind w:left="360" w:hanging="360"/>
      </w:pPr>
      <w:r>
        <w:rPr>
          <w:rFonts w:ascii="Calibri" w:hAnsi="Calibri"/>
          <w:b/>
          <w:color w:val="525866"/>
          <w:sz w:val="22"/>
        </w:rPr>
        <w:t>July 16, 2026 — Baker Hughes completes Chart Industries acquisition; secures $2B in new term loans.</w:t>
      </w:r>
      <w:r>
        <w:rPr>
          <w:rFonts w:ascii="Calibri" w:hAnsi="Calibri"/>
          <w:color w:val="525866"/>
          <w:sz w:val="22"/>
        </w:rPr>
        <w:t xml:space="preserve"> BKR closed its acquisition of Chart, a major industrial gas equipment maker, and secured $2B in new term loans. </w:t>
      </w:r>
      <w:r>
        <w:rPr>
          <w:rFonts w:ascii="Calibri" w:hAnsi="Calibri"/>
          <w:b/>
          <w:color w:val="525866"/>
          <w:sz w:val="22"/>
        </w:rPr>
        <w:t xml:space="preserve">Implication: </w:t>
      </w:r>
      <w:r>
        <w:rPr>
          <w:rFonts w:ascii="Calibri" w:hAnsi="Calibri"/>
          <w:color w:val="525866"/>
          <w:sz w:val="22"/>
        </w:rPr>
        <w:t>BKR’s diversification into industrial energy accelerates; HAL remains more concentrated in traditional oilfield services, which could be a relative advantage if upstream spending accelerates. (Source: BKR 8-K, July 16, 2026)</w:t>
      </w:r>
    </w:p>
    <w:p>
      <w:pPr>
        <w:pStyle w:val="ListBullet"/>
        <w:ind w:left="360" w:hanging="360"/>
      </w:pPr>
      <w:r>
        <w:rPr>
          <w:rFonts w:ascii="Calibri" w:hAnsi="Calibri"/>
          <w:b/>
          <w:color w:val="525866"/>
          <w:sz w:val="22"/>
        </w:rPr>
        <w:t>July 14, 2026 — Liberty Energy (LBRT) forms strategic alliance with SLB for data center power.</w:t>
      </w:r>
      <w:r>
        <w:rPr>
          <w:rFonts w:ascii="Calibri" w:hAnsi="Calibri"/>
          <w:color w:val="525866"/>
          <w:sz w:val="22"/>
        </w:rPr>
        <w:t xml:space="preserve"> LBRT partnered with SLB to supply natural gas-fired power generation for data center projects; LBRT plans to deploy ~3 GW of power projects by 2029. </w:t>
      </w:r>
      <w:r>
        <w:rPr>
          <w:rFonts w:ascii="Calibri" w:hAnsi="Calibri"/>
          <w:b/>
          <w:color w:val="525866"/>
          <w:sz w:val="22"/>
        </w:rPr>
        <w:t xml:space="preserve">Implication: </w:t>
      </w:r>
      <w:r>
        <w:rPr>
          <w:rFonts w:ascii="Calibri" w:hAnsi="Calibri"/>
          <w:color w:val="525866"/>
          <w:sz w:val="22"/>
        </w:rPr>
        <w:t>Validates HAL’s VoltaGrid distributed power strategy; HAL has 400 MW in the queue for Eastern Hemisphere data center deployments (Australia, Japan, Canada) targeted for 2028. (Source: News Digest, July 14, 2026)</w:t>
      </w:r>
    </w:p>
    <w:p>
      <w:pPr>
        <w:pStyle w:val="ListBullet"/>
        <w:ind w:left="360" w:hanging="360"/>
      </w:pPr>
      <w:r>
        <w:rPr>
          <w:rFonts w:ascii="Calibri" w:hAnsi="Calibri"/>
          <w:b/>
          <w:color w:val="525866"/>
          <w:sz w:val="22"/>
        </w:rPr>
        <w:t>July 10, 2026 — Occidental Petroleum Q2 realized oil price: $96.78/bbl (+38% QoQ).</w:t>
      </w:r>
      <w:r>
        <w:rPr>
          <w:rFonts w:ascii="Calibri" w:hAnsi="Calibri"/>
          <w:color w:val="525866"/>
          <w:sz w:val="22"/>
        </w:rPr>
        <w:t xml:space="preserve"> OXY’s worldwide average realized oil price surged 38% sequentially in Q2, driven by higher benchmark crude amid the Middle East conflict. </w:t>
      </w:r>
      <w:r>
        <w:rPr>
          <w:rFonts w:ascii="Calibri" w:hAnsi="Calibri"/>
          <w:b/>
          <w:color w:val="525866"/>
          <w:sz w:val="22"/>
        </w:rPr>
        <w:t xml:space="preserve">Implication: </w:t>
      </w:r>
      <w:r>
        <w:rPr>
          <w:rFonts w:ascii="Calibri" w:hAnsi="Calibri"/>
          <w:color w:val="525866"/>
          <w:sz w:val="22"/>
        </w:rPr>
        <w:t>Confirms that HAL’s E&amp;P customers are generating strong cash flows in Q2, which should support continued upstream spending and potentially accelerate activity recovery in H2 2026. (Source: OXY 8-K, July 10, 2026)</w:t>
      </w:r>
    </w:p>
    <w:p>
      <w:pPr>
        <w:pStyle w:val="ListBullet"/>
        <w:ind w:left="360" w:hanging="360"/>
      </w:pPr>
      <w:r>
        <w:rPr>
          <w:rFonts w:ascii="Calibri" w:hAnsi="Calibri"/>
          <w:b/>
          <w:color w:val="525866"/>
          <w:sz w:val="22"/>
        </w:rPr>
        <w:t>July 7–8, 2026 — ExxonMobil signals ~$6B sequential jump in Q2 adjusted income.</w:t>
      </w:r>
      <w:r>
        <w:rPr>
          <w:rFonts w:ascii="Calibri" w:hAnsi="Calibri"/>
          <w:color w:val="525866"/>
          <w:sz w:val="22"/>
        </w:rPr>
        <w:t xml:space="preserve"> XOM guided for a ~$6B sequential increase in Q2 adjusted income (implying ~$15B total), driven by higher oil prices (+$3.5–$3.9B upstream impact) and better refining margins. </w:t>
      </w:r>
      <w:r>
        <w:rPr>
          <w:rFonts w:ascii="Calibri" w:hAnsi="Calibri"/>
          <w:b/>
          <w:color w:val="525866"/>
          <w:sz w:val="22"/>
        </w:rPr>
        <w:t xml:space="preserve">Implication: </w:t>
      </w:r>
      <w:r>
        <w:rPr>
          <w:rFonts w:ascii="Calibri" w:hAnsi="Calibri"/>
          <w:color w:val="525866"/>
          <w:sz w:val="22"/>
        </w:rPr>
        <w:t>Major E&amp;P customers are generating record cash flows in Q2; this is a strong positive read-through for HAL’s H2 2026 activity outlook and supports the case for accelerating upstream investment. (Source: News Digest, July 7–8, 2026)</w:t>
      </w:r>
    </w:p>
    <w:p>
      <w:pPr>
        <w:pStyle w:val="ListBullet"/>
        <w:ind w:left="360" w:hanging="360"/>
      </w:pPr>
      <w:r>
        <w:rPr>
          <w:rFonts w:ascii="Calibri" w:hAnsi="Calibri"/>
          <w:b/>
          <w:color w:val="525866"/>
          <w:sz w:val="22"/>
        </w:rPr>
        <w:t>June 29, 2026 — HAL announces passing of Board Director Abdulaziz F. Al Khayyal.</w:t>
      </w:r>
      <w:r>
        <w:rPr>
          <w:rFonts w:ascii="Calibri" w:hAnsi="Calibri"/>
          <w:color w:val="525866"/>
          <w:sz w:val="22"/>
        </w:rPr>
        <w:t xml:space="preserve"> Board member with Middle East expertise passed away. </w:t>
      </w:r>
      <w:r>
        <w:rPr>
          <w:rFonts w:ascii="Calibri" w:hAnsi="Calibri"/>
          <w:b/>
          <w:color w:val="525866"/>
          <w:sz w:val="22"/>
        </w:rPr>
        <w:t xml:space="preserve">Implication: </w:t>
      </w:r>
      <w:r>
        <w:rPr>
          <w:rFonts w:ascii="Calibri" w:hAnsi="Calibri"/>
          <w:color w:val="525866"/>
          <w:sz w:val="22"/>
        </w:rPr>
        <w:t>Minor governance event; no material financial impact. (Source: HAL 8-K, June 29, 2026)</w:t>
      </w:r>
    </w:p>
    <w:p>
      <w:pPr>
        <w:pStyle w:val="ListBullet"/>
        <w:ind w:left="360" w:hanging="360"/>
      </w:pPr>
      <w:r>
        <w:rPr>
          <w:rFonts w:ascii="Calibri" w:hAnsi="Calibri"/>
          <w:b/>
          <w:color w:val="525866"/>
          <w:sz w:val="22"/>
        </w:rPr>
        <w:t>June 25, 2026 — Liberty Energy signs $332.6M power equipment deal with Wärtsilä.</w:t>
      </w:r>
      <w:r>
        <w:rPr>
          <w:rFonts w:ascii="Calibri" w:hAnsi="Calibri"/>
          <w:color w:val="525866"/>
          <w:sz w:val="22"/>
        </w:rPr>
        <w:t xml:space="preserve"> LBRT’s subsidiary signed a $332.6M contract for power generation equipment for prospective data center and distributed power projects; delivery 2029–2030. </w:t>
      </w:r>
      <w:r>
        <w:rPr>
          <w:rFonts w:ascii="Calibri" w:hAnsi="Calibri"/>
          <w:b/>
          <w:color w:val="525866"/>
          <w:sz w:val="22"/>
        </w:rPr>
        <w:t xml:space="preserve">Implication: </w:t>
      </w:r>
      <w:r>
        <w:rPr>
          <w:rFonts w:ascii="Calibri" w:hAnsi="Calibri"/>
          <w:color w:val="525866"/>
          <w:sz w:val="22"/>
        </w:rPr>
        <w:t>Further validates the distributed power opportunity that HAL is pursuing via VoltaGrid. (Source: LBRT 8-K, June 25, 2026)</w:t>
      </w:r>
    </w:p>
    <w:p>
      <w:pPr>
        <w:pStyle w:val="ListBullet"/>
        <w:ind w:left="360" w:hanging="360"/>
      </w:pPr>
      <w:r>
        <w:rPr>
          <w:rFonts w:ascii="Calibri" w:hAnsi="Calibri"/>
          <w:b/>
          <w:color w:val="525866"/>
          <w:sz w:val="22"/>
        </w:rPr>
        <w:t>June 17, 2026 — SLB hosts Digital Investor Day.</w:t>
      </w:r>
      <w:r>
        <w:rPr>
          <w:rFonts w:ascii="Calibri" w:hAnsi="Calibri"/>
          <w:color w:val="525866"/>
          <w:sz w:val="22"/>
        </w:rPr>
        <w:t xml:space="preserve"> SLB outlined its digital strategy, emphasizing AI-driven production optimization (ADNOC collaboration), technology sovereignty, and data center infrastructure. SLB’s digital business growing at double-digit rates with expanding margins. </w:t>
      </w:r>
      <w:r>
        <w:rPr>
          <w:rFonts w:ascii="Calibri" w:hAnsi="Calibri"/>
          <w:b/>
          <w:color w:val="525866"/>
          <w:sz w:val="22"/>
        </w:rPr>
        <w:t xml:space="preserve">Implication: </w:t>
      </w:r>
      <w:r>
        <w:rPr>
          <w:rFonts w:ascii="Calibri" w:hAnsi="Calibri"/>
          <w:color w:val="525866"/>
          <w:sz w:val="22"/>
        </w:rPr>
        <w:t>SLB is accelerating its digital differentiation; HAL’s competitive response (ZEUS IQ, LOGIX, Sekal DrillTronics) will be a key topic on the Q2 call. (Source: SLB Digital Investor Day Transcript, June 17, 2026)</w:t>
      </w:r>
    </w:p>
    <w:p>
      <w:r>
        <w:br w:type="page"/>
      </w:r>
    </w:p>
    <w:p>
      <w:pPr>
        <w:pStyle w:val="Heading2"/>
      </w:pPr>
      <w:r>
        <w:rPr>
          <w:rFonts w:ascii="Calibri" w:hAnsi="Calibri"/>
          <w:b/>
          <w:color w:val="3B4259"/>
          <w:sz w:val="28"/>
        </w:rPr>
        <w:t>7. Peer Commentary &amp;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HAL’s medium-term outlook</w:t>
      </w:r>
      <w:r>
        <w:rPr>
          <w:rFonts w:ascii="Calibri" w:hAnsi="Calibri"/>
          <w:color w:val="525866"/>
          <w:sz w:val="22"/>
        </w:rPr>
        <w:t xml:space="preserve"> — BKR and SLB both confirm the Middle East disruption is manageable and that the aftermath will drive increased upstream investment globally. BKR’s data center power revenue ($1B in Q1 alone) validates HAL’s VoltaGrid strategy. The key read-through risk is SLB’s accelerating digital differentiation, which could pressure HAL’s competitive positioning in international markets.</w:t>
      </w:r>
    </w:p>
    <w:p>
      <w:r>
        <w:rPr>
          <w:rFonts w:ascii="Calibri" w:hAnsi="Calibri"/>
          <w:b/>
          <w:i/>
          <w:color w:val="525866"/>
          <w:sz w:val="22"/>
        </w:rPr>
        <w:t xml:space="preserve">Note: </w:t>
      </w:r>
      <w:r>
        <w:rPr>
          <w:rFonts w:ascii="Calibri" w:hAnsi="Calibri"/>
          <w:i/>
          <w:color w:val="525866"/>
          <w:sz w:val="22"/>
        </w:rPr>
        <w:t>Only commentary from the last 60 days (May 21 – July 20, 2026) that addresses Q2 2026 current-quarter conditions or forward-looking activity is included below. Prior-quarter result commentary (Q1 2026 earnings calls from April 22–24) has been excluded as it reflects backward-looking results, not current-quarter read-throughs.</w:t>
      </w:r>
    </w:p>
    <w:p>
      <w:pPr>
        <w:pStyle w:val="Heading3"/>
      </w:pPr>
      <w:r>
        <w:rPr>
          <w:rFonts w:ascii="Calibri" w:hAnsi="Calibri"/>
          <w:b/>
          <w:color w:val="3B4259"/>
          <w:sz w:val="24"/>
        </w:rPr>
        <w:t>Baker Hughes (BKR) — Bernstein Strategic Decisions Conference (May 27, 2026)</w:t>
      </w:r>
    </w:p>
    <w:p>
      <w:r>
        <w:rPr>
          <w:rFonts w:ascii="Calibri" w:hAnsi="Calibri"/>
          <w:b/>
          <w:color w:val="525866"/>
          <w:sz w:val="22"/>
        </w:rPr>
        <w:t xml:space="preserve">Qualifying: </w:t>
      </w:r>
      <w:r>
        <w:rPr>
          <w:rFonts w:ascii="Calibri" w:hAnsi="Calibri"/>
          <w:color w:val="525866"/>
          <w:sz w:val="22"/>
        </w:rPr>
        <w:t>This is a post-Q1 conference appearance (May 27) where BKR management commented on current Q2 2026 conditions and the forward outlook.</w:t>
      </w:r>
    </w:p>
    <w:p>
      <w:pPr>
        <w:pStyle w:val="ListBullet"/>
        <w:ind w:left="360" w:hanging="360"/>
      </w:pPr>
      <w:r>
        <w:rPr>
          <w:rFonts w:ascii="Calibri" w:hAnsi="Calibri"/>
          <w:b/>
          <w:color w:val="525866"/>
          <w:sz w:val="22"/>
        </w:rPr>
        <w:t>Middle East: Activity is ongoing.</w:t>
      </w:r>
      <w:r>
        <w:rPr>
          <w:rFonts w:ascii="Calibri" w:hAnsi="Calibri"/>
          <w:color w:val="525866"/>
          <w:sz w:val="22"/>
        </w:rPr>
        <w:t xml:space="preserve"> CEO Lorenzo Simonelli stated: “Activity is ongoing, and we’re working very well with our customers to ensure the safety as well as business continuity.” He acknowledged the Strait of Hormuz closure is “a burden for the global economy” and that “the longer it continues to be constrained, it’s constraining the output of available barrels to the world at large.” </w:t>
      </w:r>
      <w:r>
        <w:rPr>
          <w:rFonts w:ascii="Calibri" w:hAnsi="Calibri"/>
          <w:b/>
          <w:color w:val="525866"/>
          <w:sz w:val="22"/>
        </w:rPr>
        <w:t xml:space="preserve">HAL Read-Through: </w:t>
      </w:r>
      <w:r>
        <w:rPr>
          <w:rFonts w:ascii="Calibri" w:hAnsi="Calibri"/>
          <w:color w:val="525866"/>
          <w:sz w:val="22"/>
        </w:rPr>
        <w:t>Confirms that Middle East activity has not collapsed entirely — “most of our business is working today” aligns with HAL’s own Q1 commentary. The disruption is real but manageable. (Source: BKR Bernstein Conference Transcript, May 27, 2026)</w:t>
      </w:r>
    </w:p>
    <w:p>
      <w:pPr>
        <w:pStyle w:val="ListBullet"/>
        <w:ind w:left="360" w:hanging="360"/>
      </w:pPr>
      <w:r>
        <w:rPr>
          <w:rFonts w:ascii="Calibri" w:hAnsi="Calibri"/>
          <w:b/>
          <w:color w:val="525866"/>
          <w:sz w:val="22"/>
        </w:rPr>
        <w:t>Post-conflict investment surge expected.</w:t>
      </w:r>
      <w:r>
        <w:rPr>
          <w:rFonts w:ascii="Calibri" w:hAnsi="Calibri"/>
          <w:color w:val="525866"/>
          <w:sz w:val="22"/>
        </w:rPr>
        <w:t xml:space="preserve"> Simonelli: “The aftermath of this is going to be an increase in investments across multiple areas. Upstream being one, but also as you look at the infrastructure, look at the resilience of being able to get the molecules to the marketplace.” He cited activity increasing in Nigeria, other Africa locations, and Alaska as “first movers” for shorter-cycle barrels. </w:t>
      </w:r>
      <w:r>
        <w:rPr>
          <w:rFonts w:ascii="Calibri" w:hAnsi="Calibri"/>
          <w:b/>
          <w:color w:val="525866"/>
          <w:sz w:val="22"/>
        </w:rPr>
        <w:t xml:space="preserve">HAL Read-Through: </w:t>
      </w:r>
      <w:r>
        <w:rPr>
          <w:rFonts w:ascii="Calibri" w:hAnsi="Calibri"/>
          <w:color w:val="525866"/>
          <w:sz w:val="22"/>
        </w:rPr>
        <w:t>Validates HAL’s medium-term thesis that the conflict accelerates upstream investment globally. HAL’s Latin America and West Africa growth engines (Nigeria, Namibia) are directly aligned with BKR’s cited growth areas. (Source: BKR Bernstein Conference Transcript, May 27, 2026)</w:t>
      </w:r>
    </w:p>
    <w:p>
      <w:pPr>
        <w:pStyle w:val="ListBullet"/>
        <w:ind w:left="360" w:hanging="360"/>
      </w:pPr>
      <w:r>
        <w:rPr>
          <w:rFonts w:ascii="Calibri" w:hAnsi="Calibri"/>
          <w:b/>
          <w:color w:val="525866"/>
          <w:sz w:val="22"/>
        </w:rPr>
        <w:t>Data center power: $1B in Q1 2026 alone; target being revised upward.</w:t>
      </w:r>
      <w:r>
        <w:rPr>
          <w:rFonts w:ascii="Calibri" w:hAnsi="Calibri"/>
          <w:color w:val="525866"/>
          <w:sz w:val="22"/>
        </w:rPr>
        <w:t xml:space="preserve"> BKR’s Power Systems generated $1.4B in Q1 2026 revenue, of which $1B was data centers. BKR is revising its $3B (2025–2027) data center target upward due to “significant intake.” </w:t>
      </w:r>
      <w:r>
        <w:rPr>
          <w:rFonts w:ascii="Calibri" w:hAnsi="Calibri"/>
          <w:b/>
          <w:color w:val="525866"/>
          <w:sz w:val="22"/>
        </w:rPr>
        <w:t xml:space="preserve">HAL Read-Through: </w:t>
      </w:r>
      <w:r>
        <w:rPr>
          <w:rFonts w:ascii="Calibri" w:hAnsi="Calibri"/>
          <w:color w:val="525866"/>
          <w:sz w:val="22"/>
        </w:rPr>
        <w:t>Directly validates HAL’s VoltaGrid distributed power strategy. HAL has 400 MW in the queue for Eastern Hemisphere deployments; BKR’s success demonstrates the market is real and growing. (Source: BKR Bernstein Conference Transcript, May 27, 2026)</w:t>
      </w:r>
    </w:p>
    <w:p>
      <w:pPr>
        <w:pStyle w:val="ListBullet"/>
        <w:ind w:left="360" w:hanging="360"/>
      </w:pPr>
      <w:r>
        <w:rPr>
          <w:rFonts w:ascii="Calibri" w:hAnsi="Calibri"/>
          <w:b/>
          <w:color w:val="525866"/>
          <w:sz w:val="22"/>
        </w:rPr>
        <w:t>North America: Shorter-cycle barrels are “first movers.”</w:t>
      </w:r>
      <w:r>
        <w:rPr>
          <w:rFonts w:ascii="Calibri" w:hAnsi="Calibri"/>
          <w:color w:val="525866"/>
          <w:sz w:val="22"/>
        </w:rPr>
        <w:t xml:space="preserve"> Simonelli noted that “the first movers are going to be some of the shorter-cycle barrels available within North America” as the market responds to the supply disruption. </w:t>
      </w:r>
      <w:r>
        <w:rPr>
          <w:rFonts w:ascii="Calibri" w:hAnsi="Calibri"/>
          <w:b/>
          <w:color w:val="525866"/>
          <w:sz w:val="22"/>
        </w:rPr>
        <w:t xml:space="preserve">HAL Read-Through: </w:t>
      </w:r>
      <w:r>
        <w:rPr>
          <w:rFonts w:ascii="Calibri" w:hAnsi="Calibri"/>
          <w:color w:val="525866"/>
          <w:sz w:val="22"/>
        </w:rPr>
        <w:t>Supports HAL’s Q1 commentary that North America frac calendar white space has been eliminated and incremental demand is building. BKR’s view that NA is the first mover is consistent with HAL’s “early innings” recovery narrative. (Source: BKR Bernstein Conference Transcript, May 27, 2026)</w:t>
      </w:r>
    </w:p>
    <w:p>
      <w:pPr>
        <w:pStyle w:val="ListBullet"/>
        <w:ind w:left="360" w:hanging="360"/>
      </w:pPr>
      <w:r>
        <w:rPr>
          <w:rFonts w:ascii="Calibri" w:hAnsi="Calibri"/>
          <w:b/>
          <w:color w:val="525866"/>
          <w:sz w:val="22"/>
        </w:rPr>
        <w:t>LNG supply chain constrained; Qatar committed to expansion.</w:t>
      </w:r>
      <w:r>
        <w:rPr>
          <w:rFonts w:ascii="Calibri" w:hAnsi="Calibri"/>
          <w:color w:val="525866"/>
          <w:sz w:val="22"/>
        </w:rPr>
        <w:t xml:space="preserve"> BKR noted that supply chains for conflict-impacted LNG facilities face “3 to 5 year” repair timelines, but Qatar’s Northfield expansion plans are “staying committed.” BKR expects 800 MTPA of LNG capacity needed by 2030. </w:t>
      </w:r>
      <w:r>
        <w:rPr>
          <w:rFonts w:ascii="Calibri" w:hAnsi="Calibri"/>
          <w:b/>
          <w:color w:val="525866"/>
          <w:sz w:val="22"/>
        </w:rPr>
        <w:t xml:space="preserve">HAL Read-Through: </w:t>
      </w:r>
      <w:r>
        <w:rPr>
          <w:rFonts w:ascii="Calibri" w:hAnsi="Calibri"/>
          <w:color w:val="525866"/>
          <w:sz w:val="22"/>
        </w:rPr>
        <w:t>Qatar’s commitment to expansion is a positive signal for HAL’s Middle East recovery timeline, as Qatar is one of the key offshore markets cited as most impacted by the conflict. (Source: BKR Bernstein Conference Transcript, May 27, 2026)</w:t>
      </w:r>
    </w:p>
    <w:p>
      <w:pPr>
        <w:pStyle w:val="ListBullet"/>
        <w:ind w:left="360" w:hanging="360"/>
      </w:pPr>
      <w:r>
        <w:rPr>
          <w:rFonts w:ascii="Calibri" w:hAnsi="Calibri"/>
          <w:b/>
          <w:color w:val="525866"/>
          <w:sz w:val="22"/>
        </w:rPr>
        <w:t>Margins: BKR targeting 20% EBITDA by 2028 (ex-Chart).</w:t>
      </w:r>
      <w:r>
        <w:rPr>
          <w:rFonts w:ascii="Calibri" w:hAnsi="Calibri"/>
          <w:color w:val="525866"/>
          <w:sz w:val="22"/>
        </w:rPr>
        <w:t xml:space="preserve"> BKR is shifting from “volatility to predictability” by focusing on OpEx-levered, aftermarket, and diversified offerings. </w:t>
      </w:r>
      <w:r>
        <w:rPr>
          <w:rFonts w:ascii="Calibri" w:hAnsi="Calibri"/>
          <w:b/>
          <w:color w:val="525866"/>
          <w:sz w:val="22"/>
        </w:rPr>
        <w:t xml:space="preserve">HAL Read-Through: </w:t>
      </w:r>
      <w:r>
        <w:rPr>
          <w:rFonts w:ascii="Calibri" w:hAnsi="Calibri"/>
          <w:color w:val="525866"/>
          <w:sz w:val="22"/>
        </w:rPr>
        <w:t>HAL’s more cyclical North America exposure means its margin trajectory is more dependent on activity recovery than BKR’s. This is a relative risk for HAL if the NA recovery is slower than expected. (Source: BKR Bernstein Conference Transcript, May 27, 2026)</w:t>
      </w:r>
    </w:p>
    <w:p>
      <w:pPr>
        <w:pStyle w:val="Heading3"/>
      </w:pPr>
      <w:r>
        <w:rPr>
          <w:rFonts w:ascii="Calibri" w:hAnsi="Calibri"/>
          <w:b/>
          <w:color w:val="3B4259"/>
          <w:sz w:val="24"/>
        </w:rPr>
        <w:t>SLB — Digital Investor Day (June 17, 2026)</w:t>
      </w:r>
    </w:p>
    <w:p>
      <w:r>
        <w:rPr>
          <w:rFonts w:ascii="Calibri" w:hAnsi="Calibri"/>
          <w:b/>
          <w:color w:val="525866"/>
          <w:sz w:val="22"/>
        </w:rPr>
        <w:t xml:space="preserve">Qualifying: </w:t>
      </w:r>
      <w:r>
        <w:rPr>
          <w:rFonts w:ascii="Calibri" w:hAnsi="Calibri"/>
          <w:color w:val="525866"/>
          <w:sz w:val="22"/>
        </w:rPr>
        <w:t>This is a post-Q1 investor day (June 17) where SLB management commented on current business conditions and the forward digital strategy.</w:t>
      </w:r>
    </w:p>
    <w:p>
      <w:pPr>
        <w:pStyle w:val="ListBullet"/>
        <w:ind w:left="360" w:hanging="360"/>
      </w:pPr>
      <w:r>
        <w:rPr>
          <w:rFonts w:ascii="Calibri" w:hAnsi="Calibri"/>
          <w:b/>
          <w:color w:val="525866"/>
          <w:sz w:val="22"/>
        </w:rPr>
        <w:t>Middle East: Active ADNOC collaboration ongoing.</w:t>
      </w:r>
      <w:r>
        <w:rPr>
          <w:rFonts w:ascii="Calibri" w:hAnsi="Calibri"/>
          <w:color w:val="525866"/>
          <w:sz w:val="22"/>
        </w:rPr>
        <w:t xml:space="preserve"> CEO Olivier Le Peuch cited a live example of AI-driven production optimization with ADNOC: “We are co-developing the agent. We are fitting this agent to work on the specific asset of ADNOC. And we are lifting and enhancing the production performance through this.” </w:t>
      </w:r>
      <w:r>
        <w:rPr>
          <w:rFonts w:ascii="Calibri" w:hAnsi="Calibri"/>
          <w:b/>
          <w:color w:val="525866"/>
          <w:sz w:val="22"/>
        </w:rPr>
        <w:t xml:space="preserve">HAL Read-Through: </w:t>
      </w:r>
      <w:r>
        <w:rPr>
          <w:rFonts w:ascii="Calibri" w:hAnsi="Calibri"/>
          <w:color w:val="525866"/>
          <w:sz w:val="22"/>
        </w:rPr>
        <w:t>SLB is actively working with key Middle East NOCs despite the conflict, suggesting that some activity has continued. This is consistent with HAL’s statement that “most of our business is working today.” However, SLB’s digital differentiation in the Middle East could pressure HAL’s competitive positioning. (Source: SLB Digital Investor Day Transcript, June 17, 2026)</w:t>
      </w:r>
    </w:p>
    <w:p>
      <w:pPr>
        <w:pStyle w:val="ListBullet"/>
        <w:ind w:left="360" w:hanging="360"/>
      </w:pPr>
      <w:r>
        <w:rPr>
          <w:rFonts w:ascii="Calibri" w:hAnsi="Calibri"/>
          <w:b/>
          <w:color w:val="525866"/>
          <w:sz w:val="22"/>
        </w:rPr>
        <w:t>Digital margins: “Very, very significantly accretive.”</w:t>
      </w:r>
      <w:r>
        <w:rPr>
          <w:rFonts w:ascii="Calibri" w:hAnsi="Calibri"/>
          <w:color w:val="525866"/>
          <w:sz w:val="22"/>
        </w:rPr>
        <w:t xml:space="preserve"> CFO Stephane Biguet stated that digital operations require “almost very little new investment” and are expected to yield “very, very significantly accretive” margins. Digital business is “already growing at double digit” and “expanding margins.” </w:t>
      </w:r>
      <w:r>
        <w:rPr>
          <w:rFonts w:ascii="Calibri" w:hAnsi="Calibri"/>
          <w:b/>
          <w:color w:val="525866"/>
          <w:sz w:val="22"/>
        </w:rPr>
        <w:t xml:space="preserve">HAL Read-Through: </w:t>
      </w:r>
      <w:r>
        <w:rPr>
          <w:rFonts w:ascii="Calibri" w:hAnsi="Calibri"/>
          <w:color w:val="525866"/>
          <w:sz w:val="22"/>
        </w:rPr>
        <w:t>SLB’s digital margin expansion is a competitive threat to HAL in international markets. HAL’s response (ZEUS IQ, LOGIX, Sekal DrillTronics) will need to demonstrate comparable margin accretion to maintain competitive positioning. (Source: SLB Digital Investor Day Transcript, June 17, 2026)</w:t>
      </w:r>
    </w:p>
    <w:p>
      <w:pPr>
        <w:pStyle w:val="ListBullet"/>
        <w:ind w:left="360" w:hanging="360"/>
      </w:pPr>
      <w:r>
        <w:rPr>
          <w:rFonts w:ascii="Calibri" w:hAnsi="Calibri"/>
          <w:b/>
          <w:color w:val="525866"/>
          <w:sz w:val="22"/>
        </w:rPr>
        <w:t>Technology sovereignty: A key differentiator in international markets.</w:t>
      </w:r>
      <w:r>
        <w:rPr>
          <w:rFonts w:ascii="Calibri" w:hAnsi="Calibri"/>
          <w:color w:val="525866"/>
          <w:sz w:val="22"/>
        </w:rPr>
        <w:t xml:space="preserve"> SLB highlighted that its platform “guarantees technology sovereignty” for operators concerned about data security, using open models (Nvidia NemoTron, Mistral) deployable on-premise. </w:t>
      </w:r>
      <w:r>
        <w:rPr>
          <w:rFonts w:ascii="Calibri" w:hAnsi="Calibri"/>
          <w:b/>
          <w:color w:val="525866"/>
          <w:sz w:val="22"/>
        </w:rPr>
        <w:t xml:space="preserve">HAL Read-Through: </w:t>
      </w:r>
      <w:r>
        <w:rPr>
          <w:rFonts w:ascii="Calibri" w:hAnsi="Calibri"/>
          <w:color w:val="525866"/>
          <w:sz w:val="22"/>
        </w:rPr>
        <w:t>This is a competitive differentiator that HAL will need to address, particularly in Middle East and Asia markets where data sovereignty is increasingly important. (Source: SLB Digital Investor Day Transcript, June 17, 2026)</w:t>
      </w:r>
    </w:p>
    <w:p>
      <w:pPr>
        <w:pStyle w:val="ListBullet"/>
        <w:ind w:left="360" w:hanging="360"/>
      </w:pPr>
      <w:r>
        <w:rPr>
          <w:rFonts w:ascii="Calibri" w:hAnsi="Calibri"/>
          <w:b/>
          <w:color w:val="525866"/>
          <w:sz w:val="22"/>
        </w:rPr>
        <w:t>Data center infrastructure: SLB extending work with hyperscalers.</w:t>
      </w:r>
      <w:r>
        <w:rPr>
          <w:rFonts w:ascii="Calibri" w:hAnsi="Calibri"/>
          <w:color w:val="525866"/>
          <w:sz w:val="22"/>
        </w:rPr>
        <w:t xml:space="preserve"> Le Peuch: “We’re extending our work with hyperscalers… to deliver the physical infrastructure required to scale AI.” SLB is “uniquely positioned to benefit from the secular growth of AI in two ways.” </w:t>
      </w:r>
      <w:r>
        <w:rPr>
          <w:rFonts w:ascii="Calibri" w:hAnsi="Calibri"/>
          <w:b/>
          <w:color w:val="525866"/>
          <w:sz w:val="22"/>
        </w:rPr>
        <w:t xml:space="preserve">HAL Read-Through: </w:t>
      </w:r>
      <w:r>
        <w:rPr>
          <w:rFonts w:ascii="Calibri" w:hAnsi="Calibri"/>
          <w:color w:val="525866"/>
          <w:sz w:val="22"/>
        </w:rPr>
        <w:t>SLB is moving aggressively into the same data center power space as HAL’s VoltaGrid venture. The LBRT-SLB alliance (July 14) further intensifies competition in this space. HAL’s differentiation will need to come from its Eastern Hemisphere manufacturing capacity and secured customer pipeline. (Source: SLB Digital Investor Day Transcript, June 17, 2026)</w:t>
      </w:r>
    </w:p>
    <w:p>
      <w:pPr>
        <w:pStyle w:val="ListBullet"/>
        <w:ind w:left="360" w:hanging="360"/>
      </w:pPr>
      <w:r>
        <w:rPr>
          <w:rFonts w:ascii="Calibri" w:hAnsi="Calibri"/>
          <w:b/>
          <w:color w:val="525866"/>
          <w:sz w:val="22"/>
        </w:rPr>
        <w:t>US land drilling: “It’s about drilling as fast as possible.”</w:t>
      </w:r>
      <w:r>
        <w:rPr>
          <w:rFonts w:ascii="Calibri" w:hAnsi="Calibri"/>
          <w:color w:val="525866"/>
          <w:sz w:val="22"/>
        </w:rPr>
        <w:t xml:space="preserve"> VP Cecilia Prieto noted that SLB’s digital systems are tailored to US land operations where speed is the priority, and that merging “the digital piece with our innovative hardware” leads to “a step change in performance.” </w:t>
      </w:r>
      <w:r>
        <w:rPr>
          <w:rFonts w:ascii="Calibri" w:hAnsi="Calibri"/>
          <w:b/>
          <w:color w:val="525866"/>
          <w:sz w:val="22"/>
        </w:rPr>
        <w:t xml:space="preserve">HAL Read-Through: </w:t>
      </w:r>
      <w:r>
        <w:rPr>
          <w:rFonts w:ascii="Calibri" w:hAnsi="Calibri"/>
          <w:color w:val="525866"/>
          <w:sz w:val="22"/>
        </w:rPr>
        <w:t>SLB’s integrated digital-hardware approach in US land is a direct competitive threat to HAL’s North America completions business. HAL’s ZEUS IQ and Auto Frac platforms will need to demonstrate superior performance to maintain market share. (Source: SLB Digital Investor Day Transcript, June 17, 2026)</w:t>
      </w:r>
    </w:p>
    <w:p>
      <w:pPr>
        <w:pStyle w:val="Heading3"/>
      </w:pPr>
      <w:r>
        <w:rPr>
          <w:rFonts w:ascii="Calibri" w:hAnsi="Calibri"/>
          <w:b/>
          <w:color w:val="3B4259"/>
          <w:sz w:val="24"/>
        </w:rPr>
        <w:t>Liberty Energy (LBRT) — 8-K: $332.6M Wärtsilä Power Equipment Contract (June 25, 2026)</w:t>
      </w:r>
    </w:p>
    <w:p>
      <w:r>
        <w:rPr>
          <w:rFonts w:ascii="Calibri" w:hAnsi="Calibri"/>
          <w:b/>
          <w:color w:val="525866"/>
          <w:sz w:val="22"/>
        </w:rPr>
        <w:t xml:space="preserve">Qualifying: </w:t>
      </w:r>
      <w:r>
        <w:rPr>
          <w:rFonts w:ascii="Calibri" w:hAnsi="Calibri"/>
          <w:color w:val="525866"/>
          <w:sz w:val="22"/>
        </w:rPr>
        <w:t>This is a material definitive agreement filed June 25, 2026, reflecting current Q2 2026 strategic activity.</w:t>
      </w:r>
    </w:p>
    <w:p>
      <w:pPr>
        <w:pStyle w:val="ListBullet"/>
        <w:ind w:left="360" w:hanging="360"/>
      </w:pPr>
      <w:r>
        <w:rPr>
          <w:rFonts w:ascii="Calibri" w:hAnsi="Calibri"/>
          <w:b/>
          <w:color w:val="525866"/>
          <w:sz w:val="22"/>
        </w:rPr>
        <w:t>Power/data center optionality: LBRT commits $332.6M to power generation equipment.</w:t>
      </w:r>
      <w:r>
        <w:rPr>
          <w:rFonts w:ascii="Calibri" w:hAnsi="Calibri"/>
          <w:color w:val="525866"/>
          <w:sz w:val="22"/>
        </w:rPr>
        <w:t xml:space="preserve"> Liberty Energy’s subsidiary signed a $332.6M contract with Wärtsilä for power generation equipment for “prospective data center and other distributed power projects.” Delivery 2029–2030. </w:t>
      </w:r>
      <w:r>
        <w:rPr>
          <w:rFonts w:ascii="Calibri" w:hAnsi="Calibri"/>
          <w:b/>
          <w:color w:val="525866"/>
          <w:sz w:val="22"/>
        </w:rPr>
        <w:t xml:space="preserve">HAL Read-Through: </w:t>
      </w:r>
      <w:r>
        <w:rPr>
          <w:rFonts w:ascii="Calibri" w:hAnsi="Calibri"/>
          <w:color w:val="525866"/>
          <w:sz w:val="22"/>
        </w:rPr>
        <w:t>Confirms the distributed power market is real and attracting significant capital commitments from oilfield services peers. HAL’s VoltaGrid venture (400 MW in queue, Eastern Hemisphere focus) is well-positioned but faces increasing competition from LBRT and SLB. The 2029–2030 delivery timeline aligns with HAL’s own 2028 target for Eastern Hemisphere deployments. (Source: LBRT 8-K, June 25,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10b5-1 planned sales</w:t>
      </w:r>
      <w:r>
        <w:rPr>
          <w:rFonts w:ascii="Calibri" w:hAnsi="Calibri"/>
          <w:color w:val="525866"/>
          <w:sz w:val="22"/>
        </w:rPr>
        <w:t xml:space="preserve"> (pre-scheduled, non-discretionary), with the exception of one discretionary sale by a Director. There are </w:t>
      </w:r>
      <w:r>
        <w:rPr>
          <w:rFonts w:ascii="Calibri" w:hAnsi="Calibri"/>
          <w:b/>
          <w:color w:val="525866"/>
          <w:sz w:val="22"/>
        </w:rPr>
        <w:t>no open-market purchases</w:t>
      </w:r>
      <w:r>
        <w:rPr>
          <w:rFonts w:ascii="Calibri" w:hAnsi="Calibri"/>
          <w:color w:val="525866"/>
          <w:sz w:val="22"/>
        </w:rPr>
        <w:t xml:space="preserve"> — the absence of insider buying is notable given the stock’s ~11% pullback from its post-Q1 high, though the 10b5-1 nature of most sales limits the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Carre, Eric</w:t>
            </w:r>
          </w:p>
        </w:tc>
        <w:tc>
          <w:tcPr>
            <w:tcW w:type="dxa" w:w="1440"/>
          </w:tcPr>
          <w:p>
            <w:r>
              <w:rPr>
                <w:rFonts w:ascii="Calibri" w:hAnsi="Calibri"/>
                <w:sz w:val="22"/>
              </w:rPr>
              <w:t>EVP &amp; CFO</w:t>
            </w:r>
          </w:p>
        </w:tc>
        <w:tc>
          <w:tcPr>
            <w:tcW w:type="dxa" w:w="1440"/>
          </w:tcPr>
          <w:p>
            <w:r>
              <w:rPr>
                <w:rFonts w:ascii="Calibri" w:hAnsi="Calibri"/>
                <w:sz w:val="22"/>
              </w:rPr>
              <w:t>10b5-1 Planned Sale</w:t>
            </w:r>
          </w:p>
        </w:tc>
        <w:tc>
          <w:tcPr>
            <w:tcW w:type="dxa" w:w="1440"/>
          </w:tcPr>
          <w:p>
            <w:r>
              <w:rPr>
                <w:rFonts w:ascii="Calibri" w:hAnsi="Calibri"/>
                <w:sz w:val="22"/>
              </w:rPr>
              <w:t>~24,778 shares</w:t>
            </w:r>
          </w:p>
        </w:tc>
        <w:tc>
          <w:tcPr>
            <w:tcW w:type="dxa" w:w="1440"/>
          </w:tcPr>
          <w:p>
            <w:r>
              <w:rPr>
                <w:rFonts w:ascii="Calibri" w:hAnsi="Calibri"/>
                <w:sz w:val="22"/>
              </w:rPr>
              <w:t>June 18, 2026</w:t>
            </w:r>
          </w:p>
        </w:tc>
        <w:tc>
          <w:tcPr>
            <w:tcW w:type="dxa" w:w="1440"/>
          </w:tcPr>
          <w:p>
            <w:r>
              <w:rPr>
                <w:rFonts w:ascii="Calibri" w:hAnsi="Calibri"/>
                <w:sz w:val="22"/>
              </w:rPr>
              <w:t>Pre-scheduled 10b5-1 plan; non-discretionary</w:t>
            </w:r>
          </w:p>
        </w:tc>
      </w:tr>
      <w:tr>
        <w:tc>
          <w:tcPr>
            <w:tcW w:type="dxa" w:w="1440"/>
          </w:tcPr>
          <w:p>
            <w:r>
              <w:rPr>
                <w:rFonts w:ascii="Calibri" w:hAnsi="Calibri"/>
                <w:sz w:val="22"/>
              </w:rPr>
              <w:t>Beckwith, Van H.</w:t>
            </w:r>
          </w:p>
        </w:tc>
        <w:tc>
          <w:tcPr>
            <w:tcW w:type="dxa" w:w="1440"/>
          </w:tcPr>
          <w:p>
            <w:r>
              <w:rPr>
                <w:rFonts w:ascii="Calibri" w:hAnsi="Calibri"/>
                <w:sz w:val="22"/>
              </w:rPr>
              <w:t>EVP, Secretary &amp; CLO</w:t>
            </w:r>
          </w:p>
        </w:tc>
        <w:tc>
          <w:tcPr>
            <w:tcW w:type="dxa" w:w="1440"/>
          </w:tcPr>
          <w:p>
            <w:r>
              <w:rPr>
                <w:rFonts w:ascii="Calibri" w:hAnsi="Calibri"/>
                <w:sz w:val="22"/>
              </w:rPr>
              <w:t>10b5-1 Planned Sale</w:t>
            </w:r>
          </w:p>
        </w:tc>
        <w:tc>
          <w:tcPr>
            <w:tcW w:type="dxa" w:w="1440"/>
          </w:tcPr>
          <w:p>
            <w:r>
              <w:rPr>
                <w:rFonts w:ascii="Calibri" w:hAnsi="Calibri"/>
                <w:sz w:val="22"/>
              </w:rPr>
              <w:t>~198,349 shares</w:t>
            </w:r>
          </w:p>
        </w:tc>
        <w:tc>
          <w:tcPr>
            <w:tcW w:type="dxa" w:w="1440"/>
          </w:tcPr>
          <w:p>
            <w:r>
              <w:rPr>
                <w:rFonts w:ascii="Calibri" w:hAnsi="Calibri"/>
                <w:sz w:val="22"/>
              </w:rPr>
              <w:t>May 15, 2026</w:t>
            </w:r>
          </w:p>
        </w:tc>
        <w:tc>
          <w:tcPr>
            <w:tcW w:type="dxa" w:w="1440"/>
          </w:tcPr>
          <w:p>
            <w:r>
              <w:rPr>
                <w:rFonts w:ascii="Calibri" w:hAnsi="Calibri"/>
                <w:sz w:val="22"/>
              </w:rPr>
              <w:t>Pre-scheduled 10b5-1 plan; largest transaction by share count; non-discretionary</w:t>
            </w:r>
          </w:p>
        </w:tc>
      </w:tr>
      <w:tr>
        <w:tc>
          <w:tcPr>
            <w:tcW w:type="dxa" w:w="1440"/>
          </w:tcPr>
          <w:p>
            <w:r>
              <w:rPr>
                <w:rFonts w:ascii="Calibri" w:hAnsi="Calibri"/>
                <w:sz w:val="22"/>
              </w:rPr>
              <w:t>Maxwell, Michael Casey</w:t>
            </w:r>
          </w:p>
        </w:tc>
        <w:tc>
          <w:tcPr>
            <w:tcW w:type="dxa" w:w="1440"/>
          </w:tcPr>
          <w:p>
            <w:r>
              <w:rPr>
                <w:rFonts w:ascii="Calibri" w:hAnsi="Calibri"/>
                <w:sz w:val="22"/>
              </w:rPr>
              <w:t>President — Western Hemisphere</w:t>
            </w:r>
          </w:p>
        </w:tc>
        <w:tc>
          <w:tcPr>
            <w:tcW w:type="dxa" w:w="1440"/>
          </w:tcPr>
          <w:p>
            <w:r>
              <w:rPr>
                <w:rFonts w:ascii="Calibri" w:hAnsi="Calibri"/>
                <w:sz w:val="22"/>
              </w:rPr>
              <w:t>10b5-1 Planned Sale</w:t>
            </w:r>
          </w:p>
        </w:tc>
        <w:tc>
          <w:tcPr>
            <w:tcW w:type="dxa" w:w="1440"/>
          </w:tcPr>
          <w:p>
            <w:r>
              <w:rPr>
                <w:rFonts w:ascii="Calibri" w:hAnsi="Calibri"/>
                <w:sz w:val="22"/>
              </w:rPr>
              <w:t>~20,348 shares</w:t>
            </w:r>
          </w:p>
        </w:tc>
        <w:tc>
          <w:tcPr>
            <w:tcW w:type="dxa" w:w="1440"/>
          </w:tcPr>
          <w:p>
            <w:r>
              <w:rPr>
                <w:rFonts w:ascii="Calibri" w:hAnsi="Calibri"/>
                <w:sz w:val="22"/>
              </w:rPr>
              <w:t>May 5, 2026</w:t>
            </w:r>
          </w:p>
        </w:tc>
        <w:tc>
          <w:tcPr>
            <w:tcW w:type="dxa" w:w="1440"/>
          </w:tcPr>
          <w:p>
            <w:r>
              <w:rPr>
                <w:rFonts w:ascii="Calibri" w:hAnsi="Calibri"/>
                <w:sz w:val="22"/>
              </w:rPr>
              <w:t>Pre-scheduled 10b5-1 plan; non-discretionary</w:t>
            </w:r>
          </w:p>
        </w:tc>
      </w:tr>
      <w:tr>
        <w:tc>
          <w:tcPr>
            <w:tcW w:type="dxa" w:w="1440"/>
          </w:tcPr>
          <w:p>
            <w:r>
              <w:rPr>
                <w:rFonts w:ascii="Calibri" w:hAnsi="Calibri"/>
                <w:sz w:val="22"/>
              </w:rPr>
              <w:t>McKeon, Timothy</w:t>
            </w:r>
          </w:p>
        </w:tc>
        <w:tc>
          <w:tcPr>
            <w:tcW w:type="dxa" w:w="1440"/>
          </w:tcPr>
          <w:p>
            <w:r>
              <w:rPr>
                <w:rFonts w:ascii="Calibri" w:hAnsi="Calibri"/>
                <w:sz w:val="22"/>
              </w:rPr>
              <w:t>Senior VP &amp; Treasurer</w:t>
            </w:r>
          </w:p>
        </w:tc>
        <w:tc>
          <w:tcPr>
            <w:tcW w:type="dxa" w:w="1440"/>
          </w:tcPr>
          <w:p>
            <w:r>
              <w:rPr>
                <w:rFonts w:ascii="Calibri" w:hAnsi="Calibri"/>
                <w:sz w:val="22"/>
              </w:rPr>
              <w:t>10b5-1 Planned Sale</w:t>
            </w:r>
          </w:p>
        </w:tc>
        <w:tc>
          <w:tcPr>
            <w:tcW w:type="dxa" w:w="1440"/>
          </w:tcPr>
          <w:p>
            <w:r>
              <w:rPr>
                <w:rFonts w:ascii="Calibri" w:hAnsi="Calibri"/>
                <w:sz w:val="22"/>
              </w:rPr>
              <w:t>~8,655 shares</w:t>
            </w:r>
          </w:p>
        </w:tc>
        <w:tc>
          <w:tcPr>
            <w:tcW w:type="dxa" w:w="1440"/>
          </w:tcPr>
          <w:p>
            <w:r>
              <w:rPr>
                <w:rFonts w:ascii="Calibri" w:hAnsi="Calibri"/>
                <w:sz w:val="22"/>
              </w:rPr>
              <w:t>April 30, 2026</w:t>
            </w:r>
          </w:p>
        </w:tc>
        <w:tc>
          <w:tcPr>
            <w:tcW w:type="dxa" w:w="1440"/>
          </w:tcPr>
          <w:p>
            <w:r>
              <w:rPr>
                <w:rFonts w:ascii="Calibri" w:hAnsi="Calibri"/>
                <w:sz w:val="22"/>
              </w:rPr>
              <w:t>Pre-scheduled 10b5-1 plan; non-discretionary</w:t>
            </w:r>
          </w:p>
        </w:tc>
      </w:tr>
      <w:tr>
        <w:tc>
          <w:tcPr>
            <w:tcW w:type="dxa" w:w="1440"/>
          </w:tcPr>
          <w:p>
            <w:r>
              <w:rPr>
                <w:rFonts w:ascii="Calibri" w:hAnsi="Calibri"/>
                <w:sz w:val="22"/>
              </w:rPr>
              <w:t>Young, Tobi M.</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~6,125 shares</w:t>
            </w:r>
          </w:p>
        </w:tc>
        <w:tc>
          <w:tcPr>
            <w:tcW w:type="dxa" w:w="1440"/>
          </w:tcPr>
          <w:p>
            <w:r>
              <w:rPr>
                <w:rFonts w:ascii="Calibri" w:hAnsi="Calibri"/>
                <w:sz w:val="22"/>
              </w:rPr>
              <w:t>April 30, 2026</w:t>
            </w:r>
          </w:p>
        </w:tc>
        <w:tc>
          <w:tcPr>
            <w:tcW w:type="dxa" w:w="1440"/>
          </w:tcPr>
          <w:p>
            <w:r>
              <w:rPr>
                <w:rFonts w:ascii="Calibri" w:hAnsi="Calibri"/>
                <w:sz w:val="22"/>
              </w:rPr>
              <w:t>Discretionary sale; not under a 10b5-1 plan; Director-level</w:t>
            </w:r>
          </w:p>
        </w:tc>
      </w:tr>
    </w:tbl>
    <w:p>
      <w:r>
        <w:rPr>
          <w:rFonts w:ascii="Calibri" w:hAnsi="Calibri"/>
          <w:color w:val="525866"/>
          <w:sz w:val="22"/>
        </w:rPr>
        <w:t>The cluster of 10b5-1 planned sales in late April and May is consistent with routine post-earnings window selling and carries limited informational value. The one discretionary sale (Director Young, April 30) is small in size (~6,125 shares) and occurred immediately after the Q1 earnings beat, which is a common pattern. The absence of any open-market purchases despite the stock’s ~11% pullback from its post-Q1 high is worth monitoring but is not unusual given the macro uncertainty around the Middle East conflict.</w:t>
      </w:r>
    </w:p>
    <w:p>
      <w:r>
        <w:rPr>
          <w:rFonts w:ascii="Calibri" w:hAnsi="Calibri"/>
          <w:i/>
          <w:color w:val="525866"/>
          <w:sz w:val="22"/>
        </w:rPr>
        <w:t>Source: SEC Form 4 Filings Database (Insider Transaction Data)</w:t>
      </w:r>
    </w:p>
    <w:p>
      <w:r>
        <w:rPr>
          <w:rFonts w:ascii="Calibri" w:hAnsi="Calibri"/>
          <w:i/>
          <w:color w:val="525866"/>
          <w:sz w:val="22"/>
        </w:rPr>
        <w:t>Sources: Visible Alpha Consensus and Actuals Data; HAL Q1 2026 Earnings Call Transcript (April 21, 2026); HAL Q2 2026 Earnings Conference Call Announcement (June 10, 2026); BKR Bernstein Strategic Decisions Conference Transcript (May 27, 2026); SLB Digital Investor Day Transcript (June 17, 2026); LBRT 8-K (June 25, 2026); News Digest (July 7–20, 2026); OXY 8-K (July 10, 2026); BKR 8-K (July 16, 2026); Yahoo Finance / Stock Price Data;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