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as-earnings-predictions--2026-07-21"/>
    <w:p>
      <w:pPr>
        <w:pStyle w:val="Heading1"/>
      </w:pPr>
      <w:r>
        <w:t xml:space="preserve">HAS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1.40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1.08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Wizards &amp; Digital Gaming segment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594M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constant-currency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~4% vs. cons ~4%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1.425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Consumer Products revenue recapture from cyber-shift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50</m:t>
              </m:r>
              <m:r>
                <m:t>M</m:t>
              </m:r>
              <m:r>
                <m:t>s</m:t>
              </m:r>
              <m:r>
                <m:t>h</m:t>
              </m:r>
              <m:r>
                <m:t>i</m:t>
              </m:r>
              <m:r>
                <m:t>f</m:t>
              </m:r>
              <m:r>
                <m:t>t</m:t>
              </m:r>
              <m:r>
                <m:t>c</m:t>
              </m:r>
              <m:r>
                <m:t>o</m:t>
              </m:r>
              <m:r>
                <m:t>n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50M expected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Beat is largely a Wizards/MAGIC-driven top-line surprise while CP and cash flow optics remain messy (cyber-related shift, weak OCF) and FY guidance is merely reiterated rather than raised despite the Q2 beat, echoing the pattern of 30-day downward EPS revisions ahead of the print; as sell-side models roll forward H2 oil-cost headwinds and confirm the CP delta is timing (not incremental), the initial relief pop from a deeply oversold stock likely fades as analysts trim out-quarter (Q3/Q4) EPS/EBITDA assumptions even while nudging Q2 actuals up, capping the 5-day follow-through versus the day-1 pop.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2026-07-21T00:31:49Z</dcterms:created>
  <dcterms:modified xsi:type="dcterms:W3CDTF">2026-07-21T00:31:49Z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