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hasbro-inc-has--q2-2026-earnings-preview"/>
    <w:p>
      <w:pPr>
        <w:pStyle w:val="Heading1"/>
      </w:pPr>
      <w:r>
        <w:t xml:space="preserve">Hasbro, Inc. (HAS) — Q2 2026 Earnings Preview</w:t>
      </w:r>
    </w:p>
    <w:p>
      <w:pPr>
        <w:pStyle w:val="FirstParagraph"/>
      </w:pPr>
      <w:r>
        <w:rPr>
          <w:b/>
          <w:bCs/>
        </w:rPr>
        <w:t xml:space="preserve">Report Date:</w:t>
      </w:r>
      <w:r>
        <w:t xml:space="preserve"> </w:t>
      </w:r>
      <w:r>
        <w:t xml:space="preserve">Tuesday, July 21, 2026, before market open | Call: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Hasbro shares have been under significant pressure heading into this report, sliding from a 2026 high near</w:t>
      </w:r>
      <w:r>
        <w:t xml:space="preserve"> </w:t>
      </w:r>
      <m:oMath>
        <m:r>
          <m:t>106</m:t>
        </m:r>
        <m:r>
          <m:rPr>
            <m:sty m:val="p"/>
          </m:rPr>
          <m:t>(</m:t>
        </m:r>
        <m:r>
          <m:t>m</m:t>
        </m:r>
        <m:r>
          <m:t>i</m:t>
        </m:r>
        <m:r>
          <m:t>d</m:t>
        </m:r>
        <m:r>
          <m:rPr>
            <m:sty m:val="p"/>
          </m:rPr>
          <m:t>−</m:t>
        </m:r>
        <m:r>
          <m:t>F</m:t>
        </m:r>
        <m:r>
          <m:t>e</m:t>
        </m:r>
        <m:r>
          <m:t>b</m:t>
        </m:r>
        <m:r>
          <m:t>r</m:t>
        </m:r>
        <m:r>
          <m:t>u</m:t>
        </m:r>
        <m:r>
          <m:t>a</m:t>
        </m:r>
        <m:r>
          <m:t>r</m:t>
        </m:r>
        <m:r>
          <m:t>y</m:t>
        </m:r>
        <m:r>
          <m:rPr>
            <m:sty m:val="p"/>
          </m:rPr>
          <m:t>)</m:t>
        </m:r>
        <m:r>
          <m:t>t</m:t>
        </m:r>
        <m:r>
          <m:t>o</m:t>
        </m:r>
        <m:r>
          <m:t>r</m:t>
        </m:r>
        <m:r>
          <m:t>o</m:t>
        </m:r>
        <m:r>
          <m:t>u</m:t>
        </m:r>
        <m:r>
          <m:t>g</m:t>
        </m:r>
        <m:r>
          <m:t>h</m:t>
        </m:r>
        <m:r>
          <m:t>l</m:t>
        </m:r>
        <m:r>
          <m:t>y</m:t>
        </m:r>
        <m:r>
          <m:rPr>
            <m:sty m:val="p"/>
          </m:rPr>
          <m:t>*</m:t>
        </m:r>
        <m:r>
          <m:rPr>
            <m:sty m:val="p"/>
          </m:rPr>
          <m:t>*</m:t>
        </m:r>
      </m:oMath>
      <w:r>
        <w:t xml:space="preserve">81.6** as of July 20 — a decline of more than 20% since the Q1 print in May, and shares briefly touched a 52-week low around $75-76 in early July before stabilizing. Hasbro is heading into earnings with an average analyst price target of $108.29, compared to the current share price of $82.05, and per another source analysts' consensus opinion on HAS stock is bullish, with a "Strong Buy" rating overall — 13 of 16 analysts advise "Strong Buy," one suggests "Moderate Buy," and two "Hold," with an average price target of $112.25. That's a wide (and somewhat unusual) gap between sentiment/price targets and where the stock is actually trading, suggesting the Street sees the recent selloff as overdone if execution holds.</w:t>
      </w:r>
    </w:p>
    <w:p>
      <w:pPr>
        <w:pStyle w:val="BodyText"/>
      </w:pPr>
      <w:r>
        <w:t xml:space="preserve">Despite the stock weakness, Hasbro shares have recorded returns of -3.6% versus the S&amp;P 500's +0.5% over the past month, and based on its Zacks Rank #3 (Hold), HAS will likely exhibit performance aligned with the overall market near-term — though Zacks' earnings model still points to a likely beat.</w:t>
      </w:r>
    </w:p>
    <w:bookmarkEnd w:id="9"/>
    <w:bookmarkStart w:id="10" w:name="what-wall-street-expects"/>
    <w:p>
      <w:pPr>
        <w:pStyle w:val="Heading2"/>
      </w:pPr>
      <w:r>
        <w:t xml:space="preserve">What Wall Street Expects</w:t>
      </w:r>
    </w:p>
    <w:p>
      <w:pPr>
        <w:pStyle w:val="Compact"/>
        <w:numPr>
          <w:ilvl w:val="0"/>
          <w:numId w:val="1001"/>
        </w:numPr>
      </w:pPr>
      <w:r>
        <w:rPr>
          <w:b/>
          <w:bCs/>
        </w:rPr>
        <w:t xml:space="preserve">EPS:</w:t>
      </w:r>
      <w:r>
        <w:t xml:space="preserve"> </w:t>
      </w:r>
      <w:r>
        <w:t xml:space="preserve">Consensus is roughly</w:t>
      </w:r>
      <w:r>
        <w:t xml:space="preserve"> </w:t>
      </w:r>
      <m:oMath>
        <m:r>
          <m:t>1.15</m:t>
        </m:r>
        <m:r>
          <m:rPr>
            <m:sty m:val="p"/>
          </m:rPr>
          <m:t>–</m:t>
        </m:r>
      </m:oMath>
      <w:r>
        <w:rPr>
          <w:b/>
          <w:bCs/>
        </w:rPr>
        <w:t xml:space="preserve">1.18</w:t>
      </w:r>
      <w:r>
        <w:t xml:space="preserve">, indicating an 11.5% decrease from $1.30 reported a year ago. Note the tough comp: last year's Q2 was flattered by favorable items even though it included a $1.0B goodwill impairment on a GAAP basis.</w:t>
      </w:r>
    </w:p>
    <w:p>
      <w:pPr>
        <w:pStyle w:val="Compact"/>
        <w:numPr>
          <w:ilvl w:val="0"/>
          <w:numId w:val="1001"/>
        </w:numPr>
      </w:pPr>
      <w:r>
        <w:rPr>
          <w:b/>
          <w:bCs/>
        </w:rPr>
        <w:t xml:space="preserve">Revenue:</w:t>
      </w:r>
      <w:r>
        <w:t xml:space="preserve"> </w:t>
      </w:r>
      <w:r>
        <w:t xml:space="preserve">Consensus sits around</w:t>
      </w:r>
      <w:r>
        <w:t xml:space="preserve"> </w:t>
      </w:r>
      <w:r>
        <w:rPr>
          <w:b/>
          <w:bCs/>
        </w:rPr>
        <w:t xml:space="preserve">$1.05–1.06 billion</w:t>
      </w:r>
      <w:r>
        <w:t xml:space="preserve">, implying a 6.7% increase from the prior-year quarter's reported figure, with one desk modeling revenue growth of 9% year on year, a reversal from the 1.5% decrease recorded in the same quarter last year.</w:t>
      </w:r>
    </w:p>
    <w:p>
      <w:pPr>
        <w:pStyle w:val="Compact"/>
        <w:numPr>
          <w:ilvl w:val="0"/>
          <w:numId w:val="1001"/>
        </w:numPr>
      </w:pPr>
      <w:r>
        <w:rPr>
          <w:b/>
          <w:bCs/>
        </w:rPr>
        <w:t xml:space="preserve">Segment detail:</w:t>
      </w:r>
      <w:r>
        <w:t xml:space="preserve"> </w:t>
      </w:r>
      <w:r>
        <w:t xml:space="preserve">Street models have Wizards/Digital Gaming revenue around</w:t>
      </w:r>
      <w:r>
        <w:t xml:space="preserve"> </w:t>
      </w:r>
      <w:r>
        <w:rPr>
          <w:b/>
          <w:bCs/>
        </w:rPr>
        <w:t xml:space="preserve">$591–597 million</w:t>
      </w:r>
      <w:r>
        <w:t xml:space="preserve"> </w:t>
      </w:r>
      <w:r>
        <w:t xml:space="preserve">(+13.1% from the year-ago quarter), with Tabletop Gaming specifically expected at</w:t>
      </w:r>
      <w:r>
        <w:t xml:space="preserve"> </w:t>
      </w:r>
      <m:oMath>
        <m:r>
          <m:t>464.2</m:t>
        </m:r>
        <m:r>
          <m:t>m</m:t>
        </m:r>
        <m:r>
          <m:t>i</m:t>
        </m:r>
        <m:r>
          <m:t>l</m:t>
        </m:r>
        <m:r>
          <m:t>l</m:t>
        </m:r>
        <m:r>
          <m:t>i</m:t>
        </m:r>
        <m:r>
          <m:t>o</m:t>
        </m:r>
        <m:r>
          <m:t>n</m:t>
        </m:r>
        <m:r>
          <m:rPr>
            <m:sty m:val="p"/>
          </m:rPr>
          <m:t>,</m:t>
        </m:r>
        <m:r>
          <m:t>u</m:t>
        </m:r>
        <m:r>
          <m:t>p</m:t>
        </m:r>
        <m:r>
          <m:t>14.3</m:t>
        </m:r>
      </m:oMath>
      <w:r>
        <w:t xml:space="preserve">448–451 million** (a change of +2% from the year-ago quarter), and Entertainment at roughly $16.9 million, +5.5% year-over-year.</w:t>
      </w:r>
    </w:p>
    <w:p>
      <w:pPr>
        <w:pStyle w:val="Compact"/>
        <w:numPr>
          <w:ilvl w:val="0"/>
          <w:numId w:val="1001"/>
        </w:numPr>
      </w:pPr>
      <w:r>
        <w:rPr>
          <w:b/>
          <w:bCs/>
        </w:rPr>
        <w:t xml:space="preserve">Track record:</w:t>
      </w:r>
      <w:r>
        <w:t xml:space="preserve"> </w:t>
      </w:r>
      <w:r>
        <w:t xml:space="preserve">Hasbro has been a serial beater — last quarter's earnings surpassed the Zacks Consensus Estimate by 31.3%, and HAS has topped consensus in each of the trailing four quarters with an average surprise of 37.9%. Zacks' quantitative model again predicts an earnings beat for this report. Estimates have moved in the wrong direction lately, though: the consensus EPS estimate has been revised 3.8% lower over the last 30 days, even as analysts have generally reconfirmed revenue estimates over the last 30 days and Hasbro rarely misses Wall Street's revenue estimates.</w:t>
      </w:r>
    </w:p>
    <w:bookmarkEnd w:id="10"/>
    <w:bookmarkStart w:id="11" w:name="key-swing-factors-from-the-q1-call"/>
    <w:p>
      <w:pPr>
        <w:pStyle w:val="Heading2"/>
      </w:pPr>
      <w:r>
        <w:t xml:space="preserve">Key Swing Factors From the Q1 Call</w:t>
      </w:r>
    </w:p>
    <w:p>
      <w:pPr>
        <w:pStyle w:val="FirstParagraph"/>
      </w:pPr>
      <w:r>
        <w:t xml:space="preserve">Management's Q1 2026 commentary set up several specific expectations for Q2 that investors should benchmark against:</w:t>
      </w:r>
    </w:p>
    <w:p>
      <w:pPr>
        <w:pStyle w:val="Compact"/>
        <w:numPr>
          <w:ilvl w:val="0"/>
          <w:numId w:val="1002"/>
        </w:numPr>
      </w:pPr>
      <w:r>
        <w:rPr>
          <w:b/>
          <w:bCs/>
        </w:rPr>
        <w:t xml:space="preserve">A cybersecurity incident is shifting Consumer Products revenue out of Q2.</w:t>
      </w:r>
      <w:r>
        <w:t xml:space="preserve"> </w:t>
      </w:r>
      <w:r>
        <w:t xml:space="preserve">Hasbro disclosed unauthorized network access identified in late March 2026. Management guided that ~$40–60 million of Consumer Products revenue would be</w:t>
      </w:r>
      <w:r>
        <w:t xml:space="preserve"> </w:t>
      </w:r>
      <w:r>
        <w:rPr>
          <w:b/>
          <w:bCs/>
        </w:rPr>
        <w:t xml:space="preserve">delayed from Q2 into H2</w:t>
      </w:r>
      <w:r>
        <w:t xml:space="preserve"> </w:t>
      </w:r>
      <w:r>
        <w:t xml:space="preserve">(mostly Q3), and that Q2 CP growth — previously expected to be double-digit on an easy tariff-related comp — would instead be only</w:t>
      </w:r>
      <w:r>
        <w:t xml:space="preserve"> </w:t>
      </w:r>
      <w:r>
        <w:rPr>
          <w:b/>
          <w:bCs/>
        </w:rPr>
        <w:t xml:space="preserve">low-single-digit</w:t>
      </w:r>
      <w:r>
        <w:t xml:space="preserve">. This is the single biggest known headwind embedded in the Q2 setup, and the read-through is that a "soft" CP number this quarter is not necessarily bad news if management reaffirms the shift is timing, not demand.</w:t>
      </w:r>
    </w:p>
    <w:p>
      <w:pPr>
        <w:pStyle w:val="Compact"/>
        <w:numPr>
          <w:ilvl w:val="0"/>
          <w:numId w:val="1002"/>
        </w:numPr>
      </w:pPr>
      <w:r>
        <w:rPr>
          <w:b/>
          <w:bCs/>
        </w:rPr>
        <w:t xml:space="preserve">Cash flow will look weak.</w:t>
      </w:r>
      <w:r>
        <w:t xml:space="preserve"> </w:t>
      </w:r>
      <w:r>
        <w:t xml:space="preserve">Because invoicing was shut off for a period during remediation, the CFO flagged that operating cash flow in Q2 would look</w:t>
      </w:r>
      <w:r>
        <w:t xml:space="preserve"> </w:t>
      </w:r>
      <w:r>
        <w:rPr>
          <w:b/>
          <w:bCs/>
        </w:rPr>
        <w:t xml:space="preserve">much lower</w:t>
      </w:r>
      <w:r>
        <w:t xml:space="preserve"> </w:t>
      </w:r>
      <w:r>
        <w:t xml:space="preserve">than normal, with the benefit only reappearing in Q3/Q4. Expect this to be a headline optical negative that the company will look to explain away on the call.</w:t>
      </w:r>
    </w:p>
    <w:p>
      <w:pPr>
        <w:pStyle w:val="Compact"/>
        <w:numPr>
          <w:ilvl w:val="0"/>
          <w:numId w:val="1002"/>
        </w:numPr>
      </w:pPr>
      <w:r>
        <w:rPr>
          <w:b/>
          <w:bCs/>
        </w:rPr>
        <w:t xml:space="preserve">One-time remediation costs (~$20M)</w:t>
      </w:r>
      <w:r>
        <w:t xml:space="preserve"> </w:t>
      </w:r>
      <w:r>
        <w:t xml:space="preserve">tied to the breach are expected in 2026 opex, though management said these would not hit adjusted EBITDA.</w:t>
      </w:r>
    </w:p>
    <w:p>
      <w:pPr>
        <w:pStyle w:val="Compact"/>
        <w:numPr>
          <w:ilvl w:val="0"/>
          <w:numId w:val="1002"/>
        </w:numPr>
      </w:pPr>
      <w:r>
        <w:rPr>
          <w:b/>
          <w:bCs/>
        </w:rPr>
        <w:t xml:space="preserve">Wizards of the Coast should be a bright spot.</w:t>
      </w:r>
      <w:r>
        <w:t xml:space="preserve"> </w:t>
      </w:r>
      <w:r>
        <w:t xml:space="preserve">Management explicitly called Q2 "quite robust" for Wizards, driven by the</w:t>
      </w:r>
      <w:r>
        <w:t xml:space="preserve"> </w:t>
      </w:r>
      <w:r>
        <w:rPr>
          <w:i/>
          <w:iCs/>
        </w:rPr>
        <w:t xml:space="preserve">Secrets of Strixhaven</w:t>
      </w:r>
      <w:r>
        <w:t xml:space="preserve"> </w:t>
      </w:r>
      <w:r>
        <w:t xml:space="preserve">set (already confirmed as the largest MAGIC Premier set ever, surpassing Q1's record-breaking</w:t>
      </w:r>
      <w:r>
        <w:t xml:space="preserve"> </w:t>
      </w:r>
      <w:r>
        <w:rPr>
          <w:i/>
          <w:iCs/>
        </w:rPr>
        <w:t xml:space="preserve">Lorwyn Eclipsed</w:t>
      </w:r>
      <w:r>
        <w:t xml:space="preserve">) and the</w:t>
      </w:r>
      <w:r>
        <w:t xml:space="preserve"> </w:t>
      </w:r>
      <w:r>
        <w:rPr>
          <w:i/>
          <w:iCs/>
        </w:rPr>
        <w:t xml:space="preserve">Marvel Super Heroes</w:t>
      </w:r>
      <w:r>
        <w:t xml:space="preserve"> </w:t>
      </w:r>
      <w:r>
        <w:t xml:space="preserve">Universes Beyond launch, plus a new MAGIC ARENA digital-rights partnership with Disney. This is the segment most likely to drive the headline beat, similar to Q1.</w:t>
      </w:r>
    </w:p>
    <w:p>
      <w:pPr>
        <w:pStyle w:val="Compact"/>
        <w:numPr>
          <w:ilvl w:val="0"/>
          <w:numId w:val="1002"/>
        </w:numPr>
      </w:pPr>
      <w:r>
        <w:rPr>
          <w:b/>
          <w:bCs/>
        </w:rPr>
        <w:t xml:space="preserve">Oil-related input cost pressure (freight, resin, packaging)</w:t>
      </w:r>
      <w:r>
        <w:t xml:space="preserve"> </w:t>
      </w:r>
      <w:r>
        <w:t xml:space="preserve">— roughly a</w:t>
      </w:r>
      <w:r>
        <w:t xml:space="preserve"> </w:t>
      </w:r>
      <m:oMath>
        <m:r>
          <m:t>30</m:t>
        </m:r>
        <m:r>
          <m:t>m</m:t>
        </m:r>
        <m:r>
          <m:t>i</m:t>
        </m:r>
        <m:r>
          <m:t>l</m:t>
        </m:r>
        <m:r>
          <m:t>l</m:t>
        </m:r>
        <m:r>
          <m:t>i</m:t>
        </m:r>
        <m:r>
          <m:t>o</m:t>
        </m:r>
        <m:r>
          <m:t>n</m:t>
        </m:r>
        <m:r>
          <m:t>f</m:t>
        </m:r>
        <m:r>
          <m:t>u</m:t>
        </m:r>
        <m:r>
          <m:t>l</m:t>
        </m:r>
        <m:r>
          <m:t>l</m:t>
        </m:r>
        <m:r>
          <m:rPr>
            <m:sty m:val="p"/>
          </m:rPr>
          <m:t>−</m:t>
        </m:r>
        <m:r>
          <m:t>y</m:t>
        </m:r>
        <m:r>
          <m:t>e</m:t>
        </m:r>
        <m:r>
          <m:t>a</m:t>
        </m:r>
        <m:r>
          <m:t>r</m:t>
        </m:r>
        <m:r>
          <m:t>h</m:t>
        </m:r>
        <m:r>
          <m:t>e</m:t>
        </m:r>
        <m:r>
          <m:t>a</m:t>
        </m:r>
        <m:r>
          <m:t>d</m:t>
        </m:r>
        <m:r>
          <m:t>w</m:t>
        </m:r>
        <m:r>
          <m:t>i</m:t>
        </m:r>
        <m:r>
          <m:t>n</m:t>
        </m:r>
        <m:r>
          <m:t>d</m:t>
        </m:r>
        <m:r>
          <m:rPr>
            <m:sty m:val="p"/>
          </m:rPr>
          <m:t>—</m:t>
        </m:r>
        <m:r>
          <m:t>i</m:t>
        </m:r>
        <m:r>
          <m:t>s</m:t>
        </m:r>
        <m:r>
          <m:t>w</m:t>
        </m:r>
        <m:r>
          <m:t>e</m:t>
        </m:r>
        <m:r>
          <m:t>i</m:t>
        </m:r>
        <m:r>
          <m:t>g</m:t>
        </m:r>
        <m:r>
          <m:t>h</m:t>
        </m:r>
        <m:r>
          <m:t>t</m:t>
        </m:r>
        <m:r>
          <m:t>e</m:t>
        </m:r>
        <m:r>
          <m:t>d</m:t>
        </m:r>
        <m:r>
          <m:t>t</m:t>
        </m:r>
        <m:r>
          <m:t>o</m:t>
        </m:r>
        <m:r>
          <m:t>t</m:t>
        </m:r>
        <m:r>
          <m:t>h</m:t>
        </m:r>
        <m:r>
          <m:t>e</m:t>
        </m:r>
        <m:r>
          <m:t>b</m:t>
        </m:r>
        <m:r>
          <m:t>a</m:t>
        </m:r>
        <m:r>
          <m:t>c</m:t>
        </m:r>
        <m:r>
          <m:t>k</m:t>
        </m:r>
        <m:r>
          <m:t>h</m:t>
        </m:r>
        <m:r>
          <m:t>a</m:t>
        </m:r>
        <m:r>
          <m:t>l</m:t>
        </m:r>
        <m:r>
          <m:t>f</m:t>
        </m:r>
        <m:r>
          <m:rPr>
            <m:sty m:val="p"/>
          </m:rPr>
          <m:t>(</m:t>
        </m:r>
        <m:r>
          <m:t>Q</m:t>
        </m:r>
        <m:r>
          <m:t>3</m:t>
        </m:r>
        <m:r>
          <m:rPr>
            <m:sty m:val="p"/>
          </m:rPr>
          <m:t>/</m:t>
        </m:r>
        <m:r>
          <m:t>Q</m:t>
        </m:r>
        <m:r>
          <m:t>4</m:t>
        </m:r>
        <m:r>
          <m:rPr>
            <m:sty m:val="p"/>
          </m:rPr>
          <m:t>)</m:t>
        </m:r>
        <m:r>
          <m:rPr>
            <m:sty m:val="p"/>
          </m:rPr>
          <m:t>,</m:t>
        </m:r>
        <m:r>
          <m:t>s</m:t>
        </m:r>
        <m:r>
          <m:t>o</m:t>
        </m:r>
        <m:r>
          <m:t>i</m:t>
        </m:r>
        <m:r>
          <m:t>t</m:t>
        </m:r>
        <m:r>
          <m:t>s</m:t>
        </m:r>
        <m:r>
          <m:t>h</m:t>
        </m:r>
        <m:r>
          <m:t>o</m:t>
        </m:r>
        <m:r>
          <m:t>u</m:t>
        </m:r>
        <m:r>
          <m:t>l</m:t>
        </m:r>
        <m:r>
          <m:t>d</m:t>
        </m:r>
        <m:r>
          <m:t>h</m:t>
        </m:r>
        <m:r>
          <m:t>a</m:t>
        </m:r>
        <m:r>
          <m:t>v</m:t>
        </m:r>
        <m:r>
          <m:t>e</m:t>
        </m:r>
        <m:r>
          <m:t>l</m:t>
        </m:r>
        <m:r>
          <m:t>i</m:t>
        </m:r>
        <m:r>
          <m:t>m</m:t>
        </m:r>
        <m:r>
          <m:t>i</m:t>
        </m:r>
        <m:r>
          <m:t>t</m:t>
        </m:r>
        <m:r>
          <m:t>e</m:t>
        </m:r>
        <m:r>
          <m:t>d</m:t>
        </m:r>
        <m:r>
          <m:t>Q</m:t>
        </m:r>
        <m:r>
          <m:t>2</m:t>
        </m:r>
        <m:r>
          <m:t>i</m:t>
        </m:r>
        <m:r>
          <m:t>m</m:t>
        </m:r>
        <m:r>
          <m:t>p</m:t>
        </m:r>
        <m:r>
          <m:t>a</m:t>
        </m:r>
        <m:r>
          <m:t>c</m:t>
        </m:r>
        <m:r>
          <m:t>t</m:t>
        </m:r>
        <m:r>
          <m:t>b</m:t>
        </m:r>
        <m:r>
          <m:t>u</m:t>
        </m:r>
        <m:r>
          <m:t>t</m:t>
        </m:r>
        <m:r>
          <m:t>i</m:t>
        </m:r>
        <m:r>
          <m:t>s</m:t>
        </m:r>
        <m:r>
          <m:t>w</m:t>
        </m:r>
        <m:r>
          <m:t>o</m:t>
        </m:r>
        <m:r>
          <m:t>r</m:t>
        </m:r>
        <m:r>
          <m:t>t</m:t>
        </m:r>
        <m:r>
          <m:t>h</m:t>
        </m:r>
        <m:r>
          <m:t>l</m:t>
        </m:r>
        <m:r>
          <m:t>i</m:t>
        </m:r>
        <m:r>
          <m:t>s</m:t>
        </m:r>
        <m:r>
          <m:t>t</m:t>
        </m:r>
        <m:r>
          <m:t>e</m:t>
        </m:r>
        <m:r>
          <m:t>n</m:t>
        </m:r>
        <m:r>
          <m:t>i</m:t>
        </m:r>
        <m:r>
          <m:t>n</m:t>
        </m:r>
        <m:r>
          <m:t>g</m:t>
        </m:r>
        <m:r>
          <m:t>f</m:t>
        </m:r>
        <m:r>
          <m:t>o</m:t>
        </m:r>
        <m:r>
          <m:t>r</m:t>
        </m:r>
        <m:r>
          <m:t>u</m:t>
        </m:r>
        <m:r>
          <m:t>p</m:t>
        </m:r>
        <m:r>
          <m:t>d</m:t>
        </m:r>
        <m:r>
          <m:t>a</m:t>
        </m:r>
        <m:r>
          <m:t>t</m:t>
        </m:r>
        <m:r>
          <m:t>e</m:t>
        </m:r>
        <m:r>
          <m:t>d</m:t>
        </m:r>
        <m:r>
          <m:t>c</m:t>
        </m:r>
        <m:r>
          <m:t>o</m:t>
        </m:r>
        <m:r>
          <m:t>m</m:t>
        </m:r>
        <m:r>
          <m:t>m</m:t>
        </m:r>
        <m:r>
          <m:t>e</m:t>
        </m:r>
        <m:r>
          <m:t>n</m:t>
        </m:r>
        <m:r>
          <m:t>t</m:t>
        </m:r>
        <m:r>
          <m:t>a</m:t>
        </m:r>
        <m:r>
          <m:t>r</m:t>
        </m:r>
        <m:r>
          <m:t>y</m:t>
        </m:r>
        <m:r>
          <m:t>o</m:t>
        </m:r>
        <m:r>
          <m:t>n</m:t>
        </m:r>
        <m:r>
          <m:t>m</m:t>
        </m:r>
        <m:r>
          <m:t>i</m:t>
        </m:r>
        <m:r>
          <m:t>t</m:t>
        </m:r>
        <m:r>
          <m:t>i</m:t>
        </m:r>
        <m:r>
          <m:t>g</m:t>
        </m:r>
        <m:r>
          <m:t>a</m:t>
        </m:r>
        <m:r>
          <m:t>t</m:t>
        </m:r>
        <m:r>
          <m:t>i</m:t>
        </m:r>
        <m:r>
          <m:t>o</m:t>
        </m:r>
        <m:r>
          <m:t>n</m:t>
        </m:r>
        <m:r>
          <m:rPr>
            <m:sty m:val="p"/>
          </m:rPr>
          <m:t>(</m:t>
        </m:r>
        <m:r>
          <m:t>p</m:t>
        </m:r>
        <m:r>
          <m:t>r</m:t>
        </m:r>
        <m:r>
          <m:t>i</m:t>
        </m:r>
        <m:r>
          <m:t>c</m:t>
        </m:r>
        <m:r>
          <m:t>i</m:t>
        </m:r>
        <m:r>
          <m:t>n</m:t>
        </m:r>
        <m:r>
          <m:t>g</m:t>
        </m:r>
        <m:r>
          <m:rPr>
            <m:sty m:val="p"/>
          </m:rPr>
          <m:t>,</m:t>
        </m:r>
        <m:r>
          <m:t>m</m:t>
        </m:r>
        <m:r>
          <m:t>i</m:t>
        </m:r>
        <m:r>
          <m:t>x</m:t>
        </m:r>
        <m:r>
          <m:rPr>
            <m:sty m:val="p"/>
          </m:rPr>
          <m:t>,</m:t>
        </m:r>
        <m:r>
          <m:t>p</m:t>
        </m:r>
        <m:r>
          <m:t>r</m:t>
        </m:r>
        <m:r>
          <m:t>o</m:t>
        </m:r>
        <m:r>
          <m:t>d</m:t>
        </m:r>
        <m:r>
          <m:t>u</m:t>
        </m:r>
        <m:r>
          <m:t>c</m:t>
        </m:r>
        <m:r>
          <m:t>t</m:t>
        </m:r>
        <m:r>
          <m:t>i</m:t>
        </m:r>
        <m:r>
          <m:t>v</m:t>
        </m:r>
        <m:r>
          <m:t>i</m:t>
        </m:r>
        <m:r>
          <m:t>t</m:t>
        </m:r>
        <m:r>
          <m:t>y</m:t>
        </m:r>
        <m:r>
          <m:rPr>
            <m:sty m:val="p"/>
          </m:rPr>
          <m:t>,</m:t>
        </m:r>
        <m:r>
          <m:t>a</m:t>
        </m:r>
        <m:r>
          <m:t>n</m:t>
        </m:r>
        <m:r>
          <m:t>d</m:t>
        </m:r>
        <m:r>
          <m:t>a</m:t>
        </m:r>
        <m:r>
          <m:t>n</m:t>
        </m:r>
        <m:r>
          <m:t>o</m:t>
        </m:r>
        <m:r>
          <m:t>f</m:t>
        </m:r>
        <m:r>
          <m:t>f</m:t>
        </m:r>
        <m:r>
          <m:t>s</m:t>
        </m:r>
        <m:r>
          <m:t>e</m:t>
        </m:r>
        <m:r>
          <m:t>t</m:t>
        </m:r>
        <m:r>
          <m:t>t</m:t>
        </m:r>
        <m:r>
          <m:t>i</m:t>
        </m:r>
        <m:r>
          <m:t>n</m:t>
        </m:r>
        <m:r>
          <m:t>g</m:t>
        </m:r>
        <m:r>
          <m:t> </m:t>
        </m:r>
      </m:oMath>
      <w:r>
        <w:t xml:space="preserve">15M tariff tailwind).</w:t>
      </w:r>
    </w:p>
    <w:p>
      <w:pPr>
        <w:pStyle w:val="Compact"/>
        <w:numPr>
          <w:ilvl w:val="0"/>
          <w:numId w:val="1002"/>
        </w:numPr>
      </w:pPr>
      <w:r>
        <w:rPr>
          <w:b/>
          <w:bCs/>
        </w:rPr>
        <w:t xml:space="preserve">A pending $50 million tariff refund claim</w:t>
      </w:r>
      <w:r>
        <w:t xml:space="preserve"> </w:t>
      </w:r>
      <w:r>
        <w:t xml:space="preserve">remains unresolved and is excluded from guidance — any update here would be incremental upside optionality.</w:t>
      </w:r>
    </w:p>
    <w:bookmarkEnd w:id="11"/>
    <w:bookmarkStart w:id="12" w:name="full-year-guidance-to-watch"/>
    <w:p>
      <w:pPr>
        <w:pStyle w:val="Heading2"/>
      </w:pPr>
      <w:r>
        <w:t xml:space="preserve">Full-Year Guidance to Watch</w:t>
      </w:r>
    </w:p>
    <w:p>
      <w:pPr>
        <w:pStyle w:val="FirstParagraph"/>
      </w:pPr>
      <w:r>
        <w:t xml:space="preserve">Hasbro reiterated full-year 2026 guidance at Q1: consolidated revenue growth of</w:t>
      </w:r>
      <w:r>
        <w:t xml:space="preserve"> </w:t>
      </w:r>
      <w:r>
        <w:rPr>
          <w:b/>
          <w:bCs/>
        </w:rPr>
        <w:t xml:space="preserve">3–5%</w:t>
      </w:r>
      <w:r>
        <w:t xml:space="preserve"> </w:t>
      </w:r>
      <w:r>
        <w:t xml:space="preserve">in constant currency, adjusted operating margin of</w:t>
      </w:r>
      <w:r>
        <w:t xml:space="preserve"> </w:t>
      </w:r>
      <w:r>
        <w:rPr>
          <w:b/>
          <w:bCs/>
        </w:rPr>
        <w:t xml:space="preserve">24–25%</w:t>
      </w:r>
      <w:r>
        <w:t xml:space="preserve">, and adjusted EBITDA of</w:t>
      </w:r>
      <w:r>
        <w:t xml:space="preserve"> </w:t>
      </w:r>
      <w:r>
        <w:rPr>
          <w:b/>
          <w:bCs/>
        </w:rPr>
        <w:t xml:space="preserve">$1.40–1.45 billion</w:t>
      </w:r>
      <w:r>
        <w:t xml:space="preserve">. At the segment level, management guided Wizards to mid-single-digit revenue growth with low-40% operating margins (absorbing higher royalties and 2027 video-game marketing investment), Consumer Products to low-single-digit growth with 6–8% margins, and Entertainment to slightly positive growth at ~50% margins. The key question for Q2 is whether management holds, raises, or trims this framework given (a) the CP revenue shift from the cyber incident, (b) MAGIC's continued outperformance, and (c) rising oil-linked costs. Given Hasbro's pattern of conservative in-year guidance (it held Q1 guidance flat despite a large beat), a straight reiteration would not be surprising even with another strong quarter.</w:t>
      </w:r>
    </w:p>
    <w:bookmarkEnd w:id="12"/>
    <w:bookmarkStart w:id="13" w:name="catalysts-and-content-slate"/>
    <w:p>
      <w:pPr>
        <w:pStyle w:val="Heading2"/>
      </w:pPr>
      <w:r>
        <w:t xml:space="preserve">Catalysts and Content Slate</w:t>
      </w:r>
    </w:p>
    <w:p>
      <w:pPr>
        <w:pStyle w:val="FirstParagraph"/>
      </w:pPr>
      <w:r>
        <w:t xml:space="preserve">Hasbro enters H2 with a stacked entertainment/licensing calendar that should support both current-quarter POS and forward commentary: the theatrical return of Star Wars via</w:t>
      </w:r>
      <w:r>
        <w:t xml:space="preserve"> </w:t>
      </w:r>
      <w:r>
        <w:rPr>
          <w:i/>
          <w:iCs/>
        </w:rPr>
        <w:t xml:space="preserve">The Mandalorian and Grogu</w:t>
      </w:r>
      <w:r>
        <w:t xml:space="preserve">, plus upcoming</w:t>
      </w:r>
      <w:r>
        <w:t xml:space="preserve"> </w:t>
      </w:r>
      <w:r>
        <w:rPr>
          <w:i/>
          <w:iCs/>
        </w:rPr>
        <w:t xml:space="preserve">Toy Story 5</w:t>
      </w:r>
      <w:r>
        <w:t xml:space="preserve">,</w:t>
      </w:r>
      <w:r>
        <w:t xml:space="preserve"> </w:t>
      </w:r>
      <w:r>
        <w:rPr>
          <w:i/>
          <w:iCs/>
        </w:rPr>
        <w:t xml:space="preserve">Spider-Man: Brand New Day</w:t>
      </w:r>
      <w:r>
        <w:t xml:space="preserve">, and</w:t>
      </w:r>
      <w:r>
        <w:t xml:space="preserve"> </w:t>
      </w:r>
      <w:r>
        <w:rPr>
          <w:i/>
          <w:iCs/>
        </w:rPr>
        <w:t xml:space="preserve">Marvel Studios' Avengers: Doomsday</w:t>
      </w:r>
      <w:r>
        <w:t xml:space="preserve">. On tabletop, the MAGIC slate features Marvel Super Heroes, The Hobbit, and Star Trek Universes Beyond sets, alongside continued backlist strength (Avatar: The Last Airbender, Final Fantasy) that management called the third-largest backlist year in MAGIC's history after just one quarter. Monopoly Go! continues to be a steady ~$40M/quarter royalty contributor. On the toy side, watch for commentary on GEM2-category share gains, FIFA Monopoly, K-Pop Demon Hunters product, and newer "age-up" pushes like Blooms by Play-Doh.</w:t>
      </w:r>
    </w:p>
    <w:bookmarkEnd w:id="13"/>
    <w:bookmarkStart w:id="14" w:name="sectorstrategic-backdrop"/>
    <w:p>
      <w:pPr>
        <w:pStyle w:val="Heading2"/>
      </w:pPr>
      <w:r>
        <w:t xml:space="preserve">Sector/Strategic Backdrop</w:t>
      </w:r>
    </w:p>
    <w:p>
      <w:pPr>
        <w:pStyle w:val="FirstParagraph"/>
      </w:pPr>
      <w:r>
        <w:t xml:space="preserve">Sentiment has recently favored Hasbro over rival Mattel, largely because Hasbro's robust Wizards gaming business shows healthy growth and higher margins than physical toys (per the pre-earnings desk note referenced in daily coverage). There is also an ongoing corporate-action subplot: activist investors, including Southeastern Asset Management, have reportedly pushed Mattel to explore a sale, with some high-profile investors suggesting a Hasbro-Mattel combination could make sense in the current regulatory environment — a speculative but potentially relevant overhang/catalyst for HAS shares depending on how that story develops, though nothing has been confirmed by either company.</w:t>
      </w:r>
    </w:p>
    <w:bookmarkEnd w:id="14"/>
    <w:bookmarkStart w:id="15" w:name="balance-sheet--capital-return"/>
    <w:p>
      <w:pPr>
        <w:pStyle w:val="Heading2"/>
      </w:pPr>
      <w:r>
        <w:t xml:space="preserve">Balance Sheet / Capital Return</w:t>
      </w:r>
    </w:p>
    <w:p>
      <w:pPr>
        <w:pStyle w:val="FirstParagraph"/>
      </w:pPr>
      <w:r>
        <w:t xml:space="preserve">At Q1-end, Hasbro carried $857 million of cash plus $498 million in short-term investments against roughly $3.6 billion of total debt (including $497M current portion). The company issued $400 million of new notes to refinance November 2026 maturities and repurchase higher-rate debt, and it resumed share buybacks under a newly authorized program while maintaining its $0.70/share quarterly dividend. Watch for confirmation of continued deleveraging and buyback pace, and whether the Q2 cash-flow "lumpiness" flagged by the CFO materializes as expected.</w:t>
      </w:r>
    </w:p>
    <w:bookmarkEnd w:id="15"/>
    <w:bookmarkStart w:id="16" w:name="bottom-line-for-investors"/>
    <w:p>
      <w:pPr>
        <w:pStyle w:val="Heading2"/>
      </w:pPr>
      <w:r>
        <w:t xml:space="preserve">Bottom Line for Investors</w:t>
      </w:r>
    </w:p>
    <w:p>
      <w:pPr>
        <w:pStyle w:val="FirstParagraph"/>
      </w:pPr>
      <w:r>
        <w:t xml:space="preserve">The setup is a bit unusual: Hasbro has beaten estimates for four straight quarters by a wide margin, MAGIC: The Gathering/Wizards fundamentals appear as strong as ever (record-breaking set releases, growing backlist, expanding digital rights), and full-year guidance has been reiterated — yet the stock has fallen sharply into the print, likely reflecting concerns about (1) the optical weakness in Consumer Products and operating cash flow tied to the cyber incident, (2) rising oil-linked input costs hitting in H2, (3) tariff/macro uncertainty, and (4) a valuation reset after the stock's earlier 2026 run to $100+. The print itself should hinge less on the headline beat (which the market has come to expect) and more on: (a) confirmation that the CP revenue delay is purely timing and recovers in Q3, (b) further detail on cyber-related costs and system restoration, (c) Wizards momentum sustaining into H2 guidance, and (d) any change to full-year margin/EBITDA guidance given rising input costs.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2026-07-21T00:31:48Z</dcterms:created>
  <dcterms:modified xsi:type="dcterms:W3CDTF">2026-07-21T00:31:48Z</dcterms:modified>
</cp:coreProperties>
</file>

<file path=docProps/custom.xml><?xml version="1.0" encoding="utf-8"?>
<Properties xmlns="http://schemas.openxmlformats.org/officeDocument/2006/custom-properties" xmlns:vt="http://schemas.openxmlformats.org/officeDocument/2006/docPropsVTypes"/>
</file>