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as-earnings-predictions--2026-07-21"/>
    <w:p>
      <w:pPr>
        <w:pStyle w:val="Heading1"/>
      </w:pPr>
      <w:r>
        <w:t xml:space="preserve">HAS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~$1.085B vs. cons $1.060B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Wizards &amp; Digital Gaming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~$620M vs. cons $597M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~$1.25 vs. cons $1.13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~$1.475B vs. cons $1.450B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~5.0% vs. cons 4.6%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Wizards &amp; Digital Gaming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~8% vs. cons 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Consumer Products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~12% vs. cons 11%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~24.5% vs. cons 24.5%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(FADE)</w:t>
            </w:r>
          </w:p>
        </w:tc>
        <w:tc>
          <w:tcPr/>
          <w:p>
            <w:pPr>
              <w:pStyle w:val="Compact"/>
            </w:pPr>
            <w:r>
              <w:t xml:space="preserve">A Wizards-led beat and FY2026 EBITDA midpoint of ~$1.475B vs. consensus $1.450B should drive the initial gain, but implied H2 EBITDA of roughly $0.80B vs. consensus near $0.82B signals that royalties, digital-game investment and Consumer Products costs limit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2026-07-21T00:28:51Z</dcterms:created>
  <dcterms:modified xsi:type="dcterms:W3CDTF">2026-07-21T00:28:51Z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