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534df6f6824801d02b92c3a4562cadb90786b2"/>
    <w:p>
      <w:pPr>
        <w:pStyle w:val="Heading1"/>
      </w:pPr>
      <w:r>
        <w:t xml:space="preserve">Hasbro (NASDAQ: HAS) — Q2 2026 Earnings Preview</w:t>
      </w:r>
    </w:p>
    <w:p>
      <w:pPr>
        <w:pStyle w:val="BlockText"/>
      </w:pPr>
      <w:r>
        <w:rPr>
          <w:b/>
          <w:bCs/>
        </w:rPr>
        <w:t xml:space="preserve">Timing note:</w:t>
      </w:r>
      <w:r>
        <w:t xml:space="preserve"> </w:t>
      </w:r>
      <w:r>
        <w:t xml:space="preserve">Hasbro’s official schedule says results will be released</w:t>
      </w:r>
      <w:r>
        <w:t xml:space="preserve"> </w:t>
      </w:r>
      <w:r>
        <w:rPr>
          <w:b/>
          <w:bCs/>
        </w:rPr>
        <w:t xml:space="preserve">before the market opens today, Tuesday, July 21, 2026</w:t>
      </w:r>
      <w:r>
        <w:t xml:space="preserve">, followed by the earnings call at</w:t>
      </w:r>
      <w:r>
        <w:t xml:space="preserve"> </w:t>
      </w:r>
      <w:r>
        <w:rPr>
          <w:b/>
          <w:bCs/>
        </w:rPr>
        <w:t xml:space="preserve">8:30 a.m. Eastern Time</w:t>
      </w:r>
      <w:r>
        <w:t xml:space="preserve">. Thus, the event is today—not tomorrow. (</w:t>
      </w:r>
      <w:hyperlink r:id="rId9">
        <w:r>
          <w:rPr>
            <w:rStyle w:val="Hyperlink"/>
          </w:rPr>
          <w:t xml:space="preserve">hasbro.gcs-web.com</w:t>
        </w:r>
      </w:hyperlink>
      <w:r>
        <w:t xml:space="preserve">)</w:t>
      </w:r>
    </w:p>
    <w:bookmarkStart w:id="10" w:name="investment-view-going-into-the-report"/>
    <w:p>
      <w:pPr>
        <w:pStyle w:val="Heading2"/>
      </w:pPr>
      <w:r>
        <w:t xml:space="preserve">Investment view going into the report</w:t>
      </w:r>
    </w:p>
    <w:p>
      <w:pPr>
        <w:pStyle w:val="FirstParagraph"/>
      </w:pPr>
      <w:r>
        <w:t xml:space="preserve">The central question is no longer whether</w:t>
      </w:r>
      <w:r>
        <w:t xml:space="preserve"> </w:t>
      </w:r>
      <w:r>
        <w:rPr>
          <w:b/>
          <w:bCs/>
        </w:rPr>
        <w:t xml:space="preserve">Magic: The Gathering</w:t>
      </w:r>
      <w:r>
        <w:t xml:space="preserve"> </w:t>
      </w:r>
      <w:r>
        <w:t xml:space="preserve">is performing well—it clearly is. The question is whether Magic’s exceptional growth can:</w:t>
      </w:r>
    </w:p>
    <w:p>
      <w:pPr>
        <w:pStyle w:val="Compact"/>
        <w:numPr>
          <w:ilvl w:val="0"/>
          <w:numId w:val="1001"/>
        </w:numPr>
      </w:pPr>
      <w:r>
        <w:t xml:space="preserve">Remain durable after increasingly difficult comparisons;</w:t>
      </w:r>
    </w:p>
    <w:p>
      <w:pPr>
        <w:pStyle w:val="Compact"/>
        <w:numPr>
          <w:ilvl w:val="0"/>
          <w:numId w:val="1001"/>
        </w:numPr>
      </w:pPr>
      <w:r>
        <w:t xml:space="preserve">Offset royalties and rising digital-game investment;</w:t>
      </w:r>
    </w:p>
    <w:p>
      <w:pPr>
        <w:pStyle w:val="Compact"/>
        <w:numPr>
          <w:ilvl w:val="0"/>
          <w:numId w:val="1001"/>
        </w:numPr>
      </w:pPr>
      <w:r>
        <w:t xml:space="preserve">Carry Hasbro while Consumer Products works through cyber-related shipment delays and input-cost pressure; and</w:t>
      </w:r>
    </w:p>
    <w:p>
      <w:pPr>
        <w:pStyle w:val="Compact"/>
        <w:numPr>
          <w:ilvl w:val="0"/>
          <w:numId w:val="1001"/>
        </w:numPr>
      </w:pPr>
      <w:r>
        <w:t xml:space="preserve">Support an increase to full-year guidance.</w:t>
      </w:r>
    </w:p>
    <w:p>
      <w:pPr>
        <w:pStyle w:val="FirstParagraph"/>
      </w:pPr>
      <w:r>
        <w:t xml:space="preserve">The setup is mixed but potentially favorable. Street expectations call for another strong Wizards quarter, while Consumer Products estimates already reflect the operational disruption disclosed in May. At the same time, HAS closed July 20 at $81.61, roughly 16% below its May 19 pre-Q1 close, suggesting expectations are less elevated than the underlying Magic momentum might imply.</w:t>
      </w:r>
    </w:p>
    <w:bookmarkEnd w:id="10"/>
    <w:bookmarkStart w:id="12" w:name="consensus-snapshot"/>
    <w:p>
      <w:pPr>
        <w:pStyle w:val="Heading2"/>
      </w:pPr>
      <w:r>
        <w:t xml:space="preserve">Consensus snapshot</w:t>
      </w:r>
    </w:p>
    <w:p>
      <w:pPr>
        <w:pStyle w:val="FirstParagraph"/>
      </w:pPr>
      <w:r>
        <w:t xml:space="preserve">Estimates vary modestly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t xml:space="preserve">Approximately</w:t>
            </w:r>
            <w:r>
              <w:t xml:space="preserve"> </w:t>
            </w:r>
            <m:oMath>
              <m:r>
                <m:t>1.05</m:t>
              </m:r>
              <m:r>
                <m:t>B</m:t>
              </m:r>
              <m:r>
                <m:rPr>
                  <m:sty m:val="p"/>
                </m:rPr>
                <m:t>–</m:t>
              </m:r>
            </m:oMath>
            <w:r>
              <w:rPr>
                <w:b/>
                <w:bCs/>
              </w:rPr>
              <w:t xml:space="preserve">1.07B</w:t>
            </w:r>
          </w:p>
        </w:tc>
        <w:tc>
          <w:tcPr/>
          <w:p>
            <w:pPr>
              <w:pStyle w:val="Compact"/>
              <w:jc w:val="right"/>
            </w:pPr>
            <w:r>
              <w:t xml:space="preserve">$980.8M</w:t>
            </w:r>
          </w:p>
        </w:tc>
        <w:tc>
          <w:tcPr/>
          <w:p>
            <w:pPr>
              <w:pStyle w:val="Compact"/>
              <w:jc w:val="right"/>
            </w:pPr>
            <w:r>
              <w:t xml:space="preserve">Roughly</w:t>
            </w:r>
            <w:r>
              <w:t xml:space="preserve"> </w:t>
            </w:r>
            <w:r>
              <w:rPr>
                <w:b/>
                <w:bCs/>
              </w:rPr>
              <w:t xml:space="preserve">+7% to +9%</w:t>
            </w:r>
          </w:p>
        </w:tc>
      </w:tr>
      <w:tr>
        <w:tc>
          <w:tcPr/>
          <w:p>
            <w:pPr>
              <w:pStyle w:val="Compact"/>
            </w:pPr>
            <w:r>
              <w:t xml:space="preserve">Adjusted EPS</w:t>
            </w:r>
          </w:p>
        </w:tc>
        <w:tc>
          <w:tcPr/>
          <w:p>
            <w:pPr>
              <w:pStyle w:val="Compact"/>
              <w:jc w:val="right"/>
            </w:pPr>
            <w:r>
              <w:t xml:space="preserve">Approximately</w:t>
            </w:r>
            <w:r>
              <w:t xml:space="preserve"> </w:t>
            </w:r>
            <m:oMath>
              <m:r>
                <m:t>1.12</m:t>
              </m:r>
              <m:r>
                <m:rPr>
                  <m:sty m:val="p"/>
                </m:rPr>
                <m:t>–</m:t>
              </m:r>
            </m:oMath>
            <w:r>
              <w:rPr>
                <w:b/>
                <w:bCs/>
              </w:rPr>
              <w:t xml:space="preserve">1.15</w:t>
            </w:r>
          </w:p>
        </w:tc>
        <w:tc>
          <w:tcPr/>
          <w:p>
            <w:pPr>
              <w:pStyle w:val="Compact"/>
              <w:jc w:val="right"/>
            </w:pPr>
            <w:r>
              <w:t xml:space="preserve">$1.30</w:t>
            </w:r>
          </w:p>
        </w:tc>
        <w:tc>
          <w:tcPr/>
          <w:p>
            <w:pPr>
              <w:pStyle w:val="Compact"/>
              <w:jc w:val="right"/>
            </w:pPr>
            <w:r>
              <w:t xml:space="preserve">Roughly</w:t>
            </w:r>
            <w:r>
              <w:t xml:space="preserve"> </w:t>
            </w:r>
            <w:r>
              <w:rPr>
                <w:b/>
                <w:bCs/>
              </w:rPr>
              <w:t xml:space="preserve">-12% to -14%</w:t>
            </w:r>
          </w:p>
        </w:tc>
      </w:tr>
      <w:tr>
        <w:tc>
          <w:tcPr/>
          <w:p>
            <w:pPr>
              <w:pStyle w:val="Compact"/>
            </w:pPr>
            <w:r>
              <w:t xml:space="preserve">Wizards &amp; Digital Gaming revenue</w:t>
            </w:r>
          </w:p>
        </w:tc>
        <w:tc>
          <w:tcPr/>
          <w:p>
            <w:pPr>
              <w:pStyle w:val="Compact"/>
              <w:jc w:val="right"/>
            </w:pPr>
            <w:r>
              <w:t xml:space="preserve">Approximately</w:t>
            </w:r>
            <w:r>
              <w:t xml:space="preserve"> </w:t>
            </w:r>
            <w:r>
              <w:rPr>
                <w:b/>
                <w:bCs/>
              </w:rPr>
              <w:t xml:space="preserve">$597M</w:t>
            </w:r>
          </w:p>
        </w:tc>
        <w:tc>
          <w:tcPr/>
          <w:p>
            <w:pPr>
              <w:pStyle w:val="Compact"/>
              <w:jc w:val="right"/>
            </w:pPr>
            <w:r>
              <w:t xml:space="preserve">$522.4M</w:t>
            </w:r>
          </w:p>
        </w:tc>
        <w:tc>
          <w:tcPr/>
          <w:p>
            <w:pPr>
              <w:pStyle w:val="Compact"/>
              <w:jc w:val="right"/>
            </w:pPr>
            <w:r>
              <w:t xml:space="preserve">About</w:t>
            </w:r>
            <w:r>
              <w:t xml:space="preserve"> </w:t>
            </w:r>
            <w:r>
              <w:rPr>
                <w:b/>
                <w:bCs/>
              </w:rPr>
              <w:t xml:space="preserve">+14%</w:t>
            </w:r>
          </w:p>
        </w:tc>
      </w:tr>
      <w:tr>
        <w:tc>
          <w:tcPr/>
          <w:p>
            <w:pPr>
              <w:pStyle w:val="Compact"/>
            </w:pPr>
            <w:r>
              <w:t xml:space="preserve">Consumer Products revenue</w:t>
            </w:r>
          </w:p>
        </w:tc>
        <w:tc>
          <w:tcPr/>
          <w:p>
            <w:pPr>
              <w:pStyle w:val="Compact"/>
              <w:jc w:val="right"/>
            </w:pPr>
            <w:r>
              <w:t xml:space="preserve">Approximately</w:t>
            </w:r>
            <w:r>
              <w:t xml:space="preserve"> </w:t>
            </w:r>
            <w:r>
              <w:rPr>
                <w:b/>
                <w:bCs/>
              </w:rPr>
              <w:t xml:space="preserve">$448M</w:t>
            </w:r>
          </w:p>
        </w:tc>
        <w:tc>
          <w:tcPr/>
          <w:p>
            <w:pPr>
              <w:pStyle w:val="Compact"/>
              <w:jc w:val="right"/>
            </w:pPr>
            <w:r>
              <w:t xml:space="preserve">$442.4M</w:t>
            </w:r>
          </w:p>
        </w:tc>
        <w:tc>
          <w:tcPr/>
          <w:p>
            <w:pPr>
              <w:pStyle w:val="Compact"/>
              <w:jc w:val="right"/>
            </w:pPr>
            <w:r>
              <w:t xml:space="preserve">About</w:t>
            </w:r>
            <w:r>
              <w:t xml:space="preserve"> </w:t>
            </w:r>
            <w:r>
              <w:rPr>
                <w:b/>
                <w:bCs/>
              </w:rPr>
              <w:t xml:space="preserve">+1%</w:t>
            </w:r>
          </w:p>
        </w:tc>
      </w:tr>
    </w:tbl>
    <w:p>
      <w:pPr>
        <w:pStyle w:val="BodyText"/>
      </w:pPr>
      <w:r>
        <w:t xml:space="preserve">Consensus sources currently cluster around $1.06 billion of revenue and $1.13 of adjusted EPS. (</w:t>
      </w:r>
      <w:hyperlink r:id="rId11">
        <w:r>
          <w:rPr>
            <w:rStyle w:val="Hyperlink"/>
          </w:rPr>
          <w:t xml:space="preserve">marketbeat.com</w:t>
        </w:r>
      </w:hyperlink>
      <w:r>
        <w:t xml:space="preserve">)</w:t>
      </w:r>
    </w:p>
    <w:p>
      <w:pPr>
        <w:pStyle w:val="BodyText"/>
      </w:pPr>
      <w:r>
        <w:t xml:space="preserve">The apparent disconnect between strong revenue growth and lower EPS reflects a difficult margin comparison: last year’s Q2 included a strong Magic release, while this year Hasbro faces elevated partner royalties, digital-game spending and other cost pressures.</w:t>
      </w:r>
    </w:p>
    <w:p>
      <w:r>
        <w:pict>
          <v:rect style="width:0;height:1.5pt" o:hralign="center" o:hrstd="t" o:hr="t"/>
        </w:pict>
      </w:r>
    </w:p>
    <w:bookmarkEnd w:id="12"/>
    <w:bookmarkStart w:id="15" w:name="X98c0022dd313553832ec8594c12d8b581d1a8cf"/>
    <w:p>
      <w:pPr>
        <w:pStyle w:val="Heading2"/>
      </w:pPr>
      <w:r>
        <w:t xml:space="preserve">1. Magic remains the main earnings engine</w:t>
      </w:r>
    </w:p>
    <w:p>
      <w:pPr>
        <w:pStyle w:val="FirstParagraph"/>
      </w:pPr>
      <w:r>
        <w:t xml:space="preserve">Wizards &amp; Digital Gaming generated</w:t>
      </w:r>
      <w:r>
        <w:t xml:space="preserve"> </w:t>
      </w:r>
      <w:r>
        <w:rPr>
          <w:b/>
          <w:bCs/>
        </w:rPr>
        <w:t xml:space="preserve">$582 million of Q1 revenue</w:t>
      </w:r>
      <w:r>
        <w:t xml:space="preserve">, up 26%, with Magic revenue up 36%. The segment produced a 51.2% operating margin, illustrating why Magic’s trajectory matters much more to the equity story than an equivalent amount of physical-toy revenue. (</w:t>
      </w:r>
      <w:hyperlink r:id="rId13">
        <w:r>
          <w:rPr>
            <w:rStyle w:val="Hyperlink"/>
          </w:rPr>
          <w:t xml:space="preserve">investor.hasbro.com</w:t>
        </w:r>
      </w:hyperlink>
      <w:r>
        <w:t xml:space="preserve">)</w:t>
      </w:r>
    </w:p>
    <w:p>
      <w:pPr>
        <w:pStyle w:val="BodyText"/>
      </w:pPr>
      <w:r>
        <w:t xml:space="preserve">Management entered Q2 with considerable momentum:</w:t>
      </w:r>
    </w:p>
    <w:p>
      <w:pPr>
        <w:pStyle w:val="Compact"/>
        <w:numPr>
          <w:ilvl w:val="0"/>
          <w:numId w:val="1002"/>
        </w:numPr>
      </w:pPr>
      <w:r>
        <w:rPr>
          <w:i/>
          <w:iCs/>
        </w:rPr>
        <w:t xml:space="preserve">Secrets of Strixhaven</w:t>
      </w:r>
      <w:r>
        <w:t xml:space="preserve"> </w:t>
      </w:r>
      <w:r>
        <w:t xml:space="preserve">had already exceeded</w:t>
      </w:r>
      <w:r>
        <w:t xml:space="preserve"> </w:t>
      </w:r>
      <w:r>
        <w:rPr>
          <w:i/>
          <w:iCs/>
        </w:rPr>
        <w:t xml:space="preserve">Lorwyn Eclipsed</w:t>
      </w:r>
      <w:r>
        <w:t xml:space="preserve"> </w:t>
      </w:r>
      <w:r>
        <w:t xml:space="preserve">as Hasbro’s largest first-party Magic set.</w:t>
      </w:r>
    </w:p>
    <w:p>
      <w:pPr>
        <w:pStyle w:val="Compact"/>
        <w:numPr>
          <w:ilvl w:val="0"/>
          <w:numId w:val="1002"/>
        </w:numPr>
      </w:pPr>
      <w:r>
        <w:t xml:space="preserve">The quarter included the Marvel-themed</w:t>
      </w:r>
      <w:r>
        <w:t xml:space="preserve"> </w:t>
      </w:r>
      <w:r>
        <w:rPr>
          <w:i/>
          <w:iCs/>
        </w:rPr>
        <w:t xml:space="preserve">Super Heroes</w:t>
      </w:r>
      <w:r>
        <w:t xml:space="preserve"> </w:t>
      </w:r>
      <w:r>
        <w:t xml:space="preserve">release.</w:t>
      </w:r>
    </w:p>
    <w:p>
      <w:pPr>
        <w:pStyle w:val="Compact"/>
        <w:numPr>
          <w:ilvl w:val="0"/>
          <w:numId w:val="1002"/>
        </w:numPr>
      </w:pPr>
      <w:r>
        <w:t xml:space="preserve">Backlist and player-engagement trends were strong.</w:t>
      </w:r>
    </w:p>
    <w:p>
      <w:pPr>
        <w:pStyle w:val="Compact"/>
        <w:numPr>
          <w:ilvl w:val="0"/>
          <w:numId w:val="1002"/>
        </w:numPr>
      </w:pPr>
      <w:r>
        <w:t xml:space="preserve">Distribution through Wizards Play Network stores continued expanding.</w:t>
      </w:r>
    </w:p>
    <w:bookmarkStart w:id="14" w:name="what-to-watch"/>
    <w:p>
      <w:pPr>
        <w:pStyle w:val="Heading3"/>
      </w:pPr>
      <w:r>
        <w:t xml:space="preserve">What to watch</w:t>
      </w:r>
    </w:p>
    <w:p>
      <w:pPr>
        <w:pStyle w:val="FirstParagraph"/>
      </w:pPr>
      <w:r>
        <w:rPr>
          <w:b/>
          <w:bCs/>
        </w:rPr>
        <w:t xml:space="preserve">Revenue relative to approximately $600 million.</w:t>
      </w:r>
      <w:r>
        <w:br/>
      </w:r>
      <w:r>
        <w:t xml:space="preserve">A result materially above $600 million would reinforce the argument that Magic’s growth is being driven by a larger player base and stronger backlist—not simply by isolated crossover releases.</w:t>
      </w:r>
    </w:p>
    <w:p>
      <w:pPr>
        <w:pStyle w:val="BodyText"/>
      </w:pPr>
      <w:r>
        <w:rPr>
          <w:b/>
          <w:bCs/>
        </w:rPr>
        <w:t xml:space="preserve">Magic growth relative to Q1’s 36%.</w:t>
      </w:r>
      <w:r>
        <w:br/>
      </w:r>
      <w:r>
        <w:t xml:space="preserve">Growth should decelerate given the Final Fantasy comparison in Q2 2025. A mid-teens increase would be healthy; a result near or above 20% would be a notable upside signal.</w:t>
      </w:r>
    </w:p>
    <w:p>
      <w:pPr>
        <w:pStyle w:val="BodyText"/>
      </w:pPr>
      <w:r>
        <w:rPr>
          <w:b/>
          <w:bCs/>
        </w:rPr>
        <w:t xml:space="preserve">Wizards operating margin.</w:t>
      </w:r>
      <w:r>
        <w:br/>
      </w:r>
      <w:r>
        <w:t xml:space="preserve">Q2 2025’s margin was 46.3%, down sharply because of higher royalties. Management’s full-year framework calls for a low-40% margin as royalties and spending on the 2027 launches of</w:t>
      </w:r>
      <w:r>
        <w:t xml:space="preserve"> </w:t>
      </w:r>
      <w:r>
        <w:rPr>
          <w:i/>
          <w:iCs/>
        </w:rPr>
        <w:t xml:space="preserve">Exodus</w:t>
      </w:r>
      <w:r>
        <w:t xml:space="preserve"> </w:t>
      </w:r>
      <w:r>
        <w:t xml:space="preserve">and</w:t>
      </w:r>
      <w:r>
        <w:t xml:space="preserve"> </w:t>
      </w:r>
      <w:r>
        <w:rPr>
          <w:i/>
          <w:iCs/>
        </w:rPr>
        <w:t xml:space="preserve">Warlock</w:t>
      </w:r>
      <w:r>
        <w:t xml:space="preserve"> </w:t>
      </w:r>
      <w:r>
        <w:t xml:space="preserve">increase. A margin in the upper 40s would represent strong operating execution; a low-40s result could raise concerns that more of Magic’s growth is being shared with licensors.</w:t>
      </w:r>
    </w:p>
    <w:p>
      <w:pPr>
        <w:pStyle w:val="BodyText"/>
      </w:pPr>
      <w:r>
        <w:rPr>
          <w:b/>
          <w:bCs/>
        </w:rPr>
        <w:t xml:space="preserve">Backlist and player-retention commentary.</w:t>
      </w:r>
      <w:r>
        <w:br/>
      </w:r>
      <w:r>
        <w:t xml:space="preserve">The best evidence of franchise durability would be continued strength in older products, organized play, repeat purchases and core Magic IP—not just new Universes Beyond launches.</w:t>
      </w:r>
    </w:p>
    <w:p>
      <w:r>
        <w:pict>
          <v:rect style="width:0;height:1.5pt" o:hralign="center" o:hrstd="t" o:hr="t"/>
        </w:pict>
      </w:r>
    </w:p>
    <w:bookmarkEnd w:id="14"/>
    <w:bookmarkEnd w:id="15"/>
    <w:bookmarkStart w:id="18" w:name="X96b0fb6333a8eb0ee31f1b9ba82acf16f4d0669"/>
    <w:p>
      <w:pPr>
        <w:pStyle w:val="Heading2"/>
      </w:pPr>
      <w:r>
        <w:t xml:space="preserve">2. Consumer Products is more about execution than demand</w:t>
      </w:r>
    </w:p>
    <w:p>
      <w:pPr>
        <w:pStyle w:val="FirstParagraph"/>
      </w:pPr>
      <w:r>
        <w:t xml:space="preserve">Consumer Products was flat in Q1 at $398 million and recorded a $41 million adjusted operating loss. Management nevertheless said underlying point-of-sale trends and retailer inventories were healthy.</w:t>
      </w:r>
    </w:p>
    <w:p>
      <w:pPr>
        <w:pStyle w:val="BodyText"/>
      </w:pPr>
      <w:r>
        <w:t xml:space="preserve">The complication is the March cyber incident. Hasbro previously estimated that</w:t>
      </w:r>
      <w:r>
        <w:t xml:space="preserve"> </w:t>
      </w:r>
      <w:r>
        <w:rPr>
          <w:b/>
          <w:bCs/>
        </w:rPr>
        <w:t xml:space="preserve">$40 million to $60 million of Consumer Products revenue would shift from Q2 into the second half</w:t>
      </w:r>
      <w:r>
        <w:t xml:space="preserve">, mostly Q3, because order-management, shipping and invoicing systems had been temporarily taken offline. Consequently, management reduced its Q2 segment-growth expectation to the low single digits while retaining an expectation for double-digit growth in Q3.</w:t>
      </w:r>
    </w:p>
    <w:p>
      <w:pPr>
        <w:pStyle w:val="BodyText"/>
      </w:pPr>
      <w:r>
        <w:t xml:space="preserve">That makes the Street’s roughly $448 million segment estimate—only slightly above last year—reasonable.</w:t>
      </w:r>
    </w:p>
    <w:bookmarkStart w:id="16" w:name="Xc3b17cb351a6f513eb59a2c2c6efd22bc7e066a"/>
    <w:p>
      <w:pPr>
        <w:pStyle w:val="Heading3"/>
      </w:pPr>
      <w:r>
        <w:t xml:space="preserve">What matters more than the reported number</w:t>
      </w:r>
    </w:p>
    <w:p>
      <w:pPr>
        <w:pStyle w:val="Compact"/>
        <w:numPr>
          <w:ilvl w:val="0"/>
          <w:numId w:val="1003"/>
        </w:numPr>
      </w:pPr>
      <w:r>
        <w:t xml:space="preserve">Confirmation that the affected operating systems have been fully restored;</w:t>
      </w:r>
    </w:p>
    <w:p>
      <w:pPr>
        <w:pStyle w:val="Compact"/>
        <w:numPr>
          <w:ilvl w:val="0"/>
          <w:numId w:val="1003"/>
        </w:numPr>
      </w:pPr>
      <w:r>
        <w:t xml:space="preserve">Evidence that delayed orders were deferred rather than canceled;</w:t>
      </w:r>
    </w:p>
    <w:p>
      <w:pPr>
        <w:pStyle w:val="Compact"/>
        <w:numPr>
          <w:ilvl w:val="0"/>
          <w:numId w:val="1003"/>
        </w:numPr>
      </w:pPr>
      <w:r>
        <w:t xml:space="preserve">The amount of revenue now expected to be recovered in Q3;</w:t>
      </w:r>
    </w:p>
    <w:p>
      <w:pPr>
        <w:pStyle w:val="Compact"/>
        <w:numPr>
          <w:ilvl w:val="0"/>
          <w:numId w:val="1003"/>
        </w:numPr>
      </w:pPr>
      <w:r>
        <w:t xml:space="preserve">Retailer inventory and point-of-sale trends;</w:t>
      </w:r>
    </w:p>
    <w:p>
      <w:pPr>
        <w:pStyle w:val="Compact"/>
        <w:numPr>
          <w:ilvl w:val="0"/>
          <w:numId w:val="1003"/>
        </w:numPr>
      </w:pPr>
      <w:r>
        <w:t xml:space="preserve">North American performance, which declined 7% in Q1;</w:t>
      </w:r>
    </w:p>
    <w:p>
      <w:pPr>
        <w:pStyle w:val="Compact"/>
        <w:numPr>
          <w:ilvl w:val="0"/>
          <w:numId w:val="1003"/>
        </w:numPr>
      </w:pPr>
      <w:r>
        <w:t xml:space="preserve">Profitability despite limited volume leverage.</w:t>
      </w:r>
    </w:p>
    <w:p>
      <w:pPr>
        <w:pStyle w:val="FirstParagraph"/>
      </w:pPr>
      <w:r>
        <w:t xml:space="preserve">A modest Q2 result can be forgiven if management provides clear evidence of a Q3 recovery. A weak quarter combined with another delay in the revenue recapture would be considerably more concerning.</w:t>
      </w:r>
    </w:p>
    <w:bookmarkEnd w:id="16"/>
    <w:bookmarkStart w:id="17" w:name="product-catalysts"/>
    <w:p>
      <w:pPr>
        <w:pStyle w:val="Heading3"/>
      </w:pPr>
      <w:r>
        <w:t xml:space="preserve">Product catalysts</w:t>
      </w:r>
    </w:p>
    <w:p>
      <w:pPr>
        <w:pStyle w:val="FirstParagraph"/>
      </w:pPr>
      <w:r>
        <w:t xml:space="preserve">Management has highlighted support from licensed and entertainment-driven products, including</w:t>
      </w:r>
      <w:r>
        <w:t xml:space="preserve"> </w:t>
      </w:r>
      <w:r>
        <w:rPr>
          <w:i/>
          <w:iCs/>
        </w:rPr>
        <w:t xml:space="preserve">The Mandalorian and Grogu</w:t>
      </w:r>
      <w:r>
        <w:t xml:space="preserve">, K-Pop Demon Hunters products and other upcoming theatrical franchises. The investor question is whether those launches are translating into retailer orders and better North American sell-through—not merely generating marketing visibility.</w:t>
      </w:r>
    </w:p>
    <w:p>
      <w:r>
        <w:pict>
          <v:rect style="width:0;height:1.5pt" o:hralign="center" o:hrstd="t" o:hr="t"/>
        </w:pict>
      </w:r>
    </w:p>
    <w:bookmarkEnd w:id="17"/>
    <w:bookmarkEnd w:id="18"/>
    <w:bookmarkStart w:id="20" w:name="Xdb2f303e5bc1eedd5cb90204f0b9cece53e8302"/>
    <w:p>
      <w:pPr>
        <w:pStyle w:val="Heading2"/>
      </w:pPr>
      <w:r>
        <w:t xml:space="preserve">3. Guidance will probably drive the stock reaction</w:t>
      </w:r>
    </w:p>
    <w:p>
      <w:pPr>
        <w:pStyle w:val="FirstParagraph"/>
      </w:pPr>
      <w:r>
        <w:t xml:space="preserve">Hasbro’s existing 2026 outlook is:</w:t>
      </w:r>
    </w:p>
    <w:p>
      <w:pPr>
        <w:pStyle w:val="Compact"/>
        <w:numPr>
          <w:ilvl w:val="0"/>
          <w:numId w:val="1004"/>
        </w:numPr>
      </w:pPr>
      <w:r>
        <w:rPr>
          <w:b/>
          <w:bCs/>
        </w:rPr>
        <w:t xml:space="preserve">Revenue growth:</w:t>
      </w:r>
      <w:r>
        <w:t xml:space="preserve"> </w:t>
      </w:r>
      <w:r>
        <w:t xml:space="preserve">3%–5% in constant currency;</w:t>
      </w:r>
    </w:p>
    <w:p>
      <w:pPr>
        <w:pStyle w:val="Compact"/>
        <w:numPr>
          <w:ilvl w:val="0"/>
          <w:numId w:val="1004"/>
        </w:numPr>
      </w:pPr>
      <w:r>
        <w:rPr>
          <w:b/>
          <w:bCs/>
        </w:rPr>
        <w:t xml:space="preserve">Adjusted operating margin:</w:t>
      </w:r>
      <w:r>
        <w:t xml:space="preserve"> </w:t>
      </w:r>
      <w:r>
        <w:t xml:space="preserve">24%–25%;</w:t>
      </w:r>
    </w:p>
    <w:p>
      <w:pPr>
        <w:pStyle w:val="Compact"/>
        <w:numPr>
          <w:ilvl w:val="0"/>
          <w:numId w:val="1004"/>
        </w:numPr>
      </w:pPr>
      <w:r>
        <w:rPr>
          <w:b/>
          <w:bCs/>
        </w:rPr>
        <w:t xml:space="preserve">Adjusted EBITDA:</w:t>
      </w:r>
      <w:r>
        <w:t xml:space="preserve"> </w:t>
      </w:r>
      <m:oMath>
        <m:r>
          <m:t>1.40</m:t>
        </m:r>
        <m:r>
          <m:t>B</m:t>
        </m:r>
        <m:r>
          <m:rPr>
            <m:sty m:val="p"/>
          </m:rPr>
          <m:t>–</m:t>
        </m:r>
      </m:oMath>
      <w:r>
        <w:t xml:space="preserve">1.45B;</w:t>
      </w:r>
    </w:p>
    <w:p>
      <w:pPr>
        <w:pStyle w:val="Compact"/>
        <w:numPr>
          <w:ilvl w:val="0"/>
          <w:numId w:val="1004"/>
        </w:numPr>
      </w:pPr>
      <w:r>
        <w:rPr>
          <w:b/>
          <w:bCs/>
        </w:rPr>
        <w:t xml:space="preserve">Wizards revenue:</w:t>
      </w:r>
      <w:r>
        <w:t xml:space="preserve"> </w:t>
      </w:r>
      <w:r>
        <w:t xml:space="preserve">Mid-single-digit growth, with a low-40% operating margin;</w:t>
      </w:r>
    </w:p>
    <w:p>
      <w:pPr>
        <w:pStyle w:val="Compact"/>
        <w:numPr>
          <w:ilvl w:val="0"/>
          <w:numId w:val="1004"/>
        </w:numPr>
      </w:pPr>
      <w:r>
        <w:rPr>
          <w:b/>
          <w:bCs/>
        </w:rPr>
        <w:t xml:space="preserve">Consumer Products revenue:</w:t>
      </w:r>
      <w:r>
        <w:t xml:space="preserve"> </w:t>
      </w:r>
      <w:r>
        <w:t xml:space="preserve">Low-single-digit growth, with a 6%–8% operating margin.</w:t>
      </w:r>
    </w:p>
    <w:p>
      <w:pPr>
        <w:pStyle w:val="FirstParagraph"/>
      </w:pPr>
      <w:r>
        <w:t xml:space="preserve">Hasbro reiterated that outlook after a Q1 earnings beat because it was still completing cyber remediation and assessing input costs. (</w:t>
      </w:r>
      <w:hyperlink r:id="rId13">
        <w:r>
          <w:rPr>
            <w:rStyle w:val="Hyperlink"/>
          </w:rPr>
          <w:t xml:space="preserve">investor.hasbro.com</w:t>
        </w:r>
      </w:hyperlink>
      <w:r>
        <w:t xml:space="preserve">)</w:t>
      </w:r>
    </w:p>
    <w:bookmarkStart w:id="19" w:name="the-likely-debate"/>
    <w:p>
      <w:pPr>
        <w:pStyle w:val="Heading3"/>
      </w:pPr>
      <w:r>
        <w:t xml:space="preserve">The likely debate</w:t>
      </w:r>
    </w:p>
    <w:p>
      <w:pPr>
        <w:pStyle w:val="FirstParagraph"/>
      </w:pPr>
      <w:r>
        <w:t xml:space="preserve">A guidance increase is plausible if:</w:t>
      </w:r>
    </w:p>
    <w:p>
      <w:pPr>
        <w:pStyle w:val="Compact"/>
        <w:numPr>
          <w:ilvl w:val="0"/>
          <w:numId w:val="1005"/>
        </w:numPr>
      </w:pPr>
      <w:r>
        <w:t xml:space="preserve">Magic continues to exceed internal plans;</w:t>
      </w:r>
    </w:p>
    <w:p>
      <w:pPr>
        <w:pStyle w:val="Compact"/>
        <w:numPr>
          <w:ilvl w:val="0"/>
          <w:numId w:val="1005"/>
        </w:numPr>
      </w:pPr>
      <w:r>
        <w:t xml:space="preserve">Cyber remediation is complete;</w:t>
      </w:r>
    </w:p>
    <w:p>
      <w:pPr>
        <w:pStyle w:val="Compact"/>
        <w:numPr>
          <w:ilvl w:val="0"/>
          <w:numId w:val="1005"/>
        </w:numPr>
      </w:pPr>
      <w:r>
        <w:t xml:space="preserve">Q2 delayed shipments are clearly recoverable;</w:t>
      </w:r>
    </w:p>
    <w:p>
      <w:pPr>
        <w:pStyle w:val="Compact"/>
        <w:numPr>
          <w:ilvl w:val="0"/>
          <w:numId w:val="1005"/>
        </w:numPr>
      </w:pPr>
      <w:r>
        <w:t xml:space="preserve">Tariff costs remain below the original budget; and</w:t>
      </w:r>
    </w:p>
    <w:p>
      <w:pPr>
        <w:pStyle w:val="Compact"/>
        <w:numPr>
          <w:ilvl w:val="0"/>
          <w:numId w:val="1005"/>
        </w:numPr>
      </w:pPr>
      <w:r>
        <w:t xml:space="preserve">Management is comfortable absorbing oil-related freight, resin and packaging costs.</w:t>
      </w:r>
    </w:p>
    <w:p>
      <w:pPr>
        <w:pStyle w:val="FirstParagraph"/>
      </w:pPr>
      <w:r>
        <w:t xml:space="preserve">Nevertheless, management may remain conservative. Wizards faces tougher comparisons later in the year—particularly in Q4—and spending on the 2027 video-game slate is scheduled to rise.</w:t>
      </w:r>
    </w:p>
    <w:p>
      <w:pPr>
        <w:pStyle w:val="BodyText"/>
      </w:pPr>
      <w:r>
        <w:rPr>
          <w:b/>
          <w:bCs/>
        </w:rPr>
        <w:t xml:space="preserve">Investor interpretation:</w:t>
      </w:r>
      <w:r>
        <w:t xml:space="preserve"> </w:t>
      </w:r>
      <w:r>
        <w:t xml:space="preserve">Maintaining guidance would not necessarily be negative if management raises confidence in the upper half of the ranges. A straightforward reiteration accompanied by cautious language on Magic margins or Q3 Consumer Products recovery would be less satisfying.</w:t>
      </w:r>
    </w:p>
    <w:p>
      <w:r>
        <w:pict>
          <v:rect style="width:0;height:1.5pt" o:hralign="center" o:hrstd="t" o:hr="t"/>
        </w:pict>
      </w:r>
    </w:p>
    <w:bookmarkEnd w:id="19"/>
    <w:bookmarkEnd w:id="20"/>
    <w:bookmarkStart w:id="21" w:name="Xd941a4bf479716fd032824e829a637cf8eea91b"/>
    <w:p>
      <w:pPr>
        <w:pStyle w:val="Heading2"/>
      </w:pPr>
      <w:r>
        <w:t xml:space="preserve">4. Margin quality deserves as much attention as revenue</w:t>
      </w:r>
    </w:p>
    <w:p>
      <w:pPr>
        <w:pStyle w:val="FirstParagraph"/>
      </w:pPr>
      <w:r>
        <w:t xml:space="preserve">Hasbro’s business mix has improved significantly because high-margin Wizards revenue represents a larger portion of the company. Q1 adjusted operating margin reached 28.7%, up 360 basis points year over year.</w:t>
      </w:r>
    </w:p>
    <w:p>
      <w:pPr>
        <w:pStyle w:val="BodyText"/>
      </w:pPr>
      <w:r>
        <w:t xml:space="preserve">But Q2 contains several counterweights:</w:t>
      </w:r>
    </w:p>
    <w:p>
      <w:pPr>
        <w:pStyle w:val="Compact"/>
        <w:numPr>
          <w:ilvl w:val="0"/>
          <w:numId w:val="1006"/>
        </w:numPr>
      </w:pPr>
      <w:r>
        <w:t xml:space="preserve">Higher royalties on licensed Magic products;</w:t>
      </w:r>
    </w:p>
    <w:p>
      <w:pPr>
        <w:pStyle w:val="Compact"/>
        <w:numPr>
          <w:ilvl w:val="0"/>
          <w:numId w:val="1006"/>
        </w:numPr>
      </w:pPr>
      <w:r>
        <w:t xml:space="preserve">Additional digital-game development and marketing spending;</w:t>
      </w:r>
    </w:p>
    <w:p>
      <w:pPr>
        <w:pStyle w:val="Compact"/>
        <w:numPr>
          <w:ilvl w:val="0"/>
          <w:numId w:val="1006"/>
        </w:numPr>
      </w:pPr>
      <w:r>
        <w:t xml:space="preserve">Cyber-remediation expense;</w:t>
      </w:r>
    </w:p>
    <w:p>
      <w:pPr>
        <w:pStyle w:val="Compact"/>
        <w:numPr>
          <w:ilvl w:val="0"/>
          <w:numId w:val="1006"/>
        </w:numPr>
      </w:pPr>
      <w:r>
        <w:t xml:space="preserve">Consumer Products input-cost inflation;</w:t>
      </w:r>
    </w:p>
    <w:p>
      <w:pPr>
        <w:pStyle w:val="Compact"/>
        <w:numPr>
          <w:ilvl w:val="0"/>
          <w:numId w:val="1006"/>
        </w:numPr>
      </w:pPr>
      <w:r>
        <w:t xml:space="preserve">A delayed recovery in physical-product volume.</w:t>
      </w:r>
    </w:p>
    <w:p>
      <w:pPr>
        <w:pStyle w:val="FirstParagraph"/>
      </w:pPr>
      <w:r>
        <w:t xml:space="preserve">Management previously quantified approximately</w:t>
      </w:r>
      <w:r>
        <w:t xml:space="preserve"> </w:t>
      </w:r>
      <w:r>
        <w:rPr>
          <w:b/>
          <w:bCs/>
        </w:rPr>
        <w:t xml:space="preserve">$30 million of 2026 oil-related cost pressure</w:t>
      </w:r>
      <w:r>
        <w:t xml:space="preserve">, primarily in the second half, partly offset by roughly $15 million of tariff favorability and additional productivity measures. It also expected approximately $20 million of one-time cyber-remediation costs, excluded from adjusted EBITDA.</w:t>
      </w:r>
    </w:p>
    <w:p>
      <w:pPr>
        <w:pStyle w:val="BodyText"/>
      </w:pPr>
      <w:r>
        <w:t xml:space="preserve">Investors should therefore distinguish between:</w:t>
      </w:r>
    </w:p>
    <w:p>
      <w:pPr>
        <w:pStyle w:val="Compact"/>
        <w:numPr>
          <w:ilvl w:val="0"/>
          <w:numId w:val="1007"/>
        </w:numPr>
      </w:pPr>
      <w:r>
        <w:rPr>
          <w:b/>
          <w:bCs/>
        </w:rPr>
        <w:t xml:space="preserve">Underlying operating leverage;</w:t>
      </w:r>
    </w:p>
    <w:p>
      <w:pPr>
        <w:pStyle w:val="Compact"/>
        <w:numPr>
          <w:ilvl w:val="0"/>
          <w:numId w:val="1007"/>
        </w:numPr>
      </w:pPr>
      <w:r>
        <w:rPr>
          <w:b/>
          <w:bCs/>
        </w:rPr>
        <w:t xml:space="preserve">Normal strategic investment;</w:t>
      </w:r>
      <w:r>
        <w:t xml:space="preserve"> </w:t>
      </w:r>
      <w:r>
        <w:t xml:space="preserve">and</w:t>
      </w:r>
    </w:p>
    <w:p>
      <w:pPr>
        <w:pStyle w:val="Compact"/>
        <w:numPr>
          <w:ilvl w:val="0"/>
          <w:numId w:val="1007"/>
        </w:numPr>
      </w:pPr>
      <w:r>
        <w:rPr>
          <w:b/>
          <w:bCs/>
        </w:rPr>
        <w:t xml:space="preserve">Costs excluded from adjusted results.</w:t>
      </w:r>
    </w:p>
    <w:p>
      <w:pPr>
        <w:pStyle w:val="FirstParagraph"/>
      </w:pPr>
      <w:r>
        <w:t xml:space="preserve">A revenue beat generated entirely by licensed Magic products may not produce the same earnings upside as a beat driven by owned-IP sets and backlist sales.</w:t>
      </w:r>
    </w:p>
    <w:p>
      <w:r>
        <w:pict>
          <v:rect style="width:0;height:1.5pt" o:hralign="center" o:hrstd="t" o:hr="t"/>
        </w:pict>
      </w:r>
    </w:p>
    <w:bookmarkEnd w:id="21"/>
    <w:bookmarkStart w:id="22" w:name="Xbef3bec278b9768f687145bb2ac9feffad44c40"/>
    <w:p>
      <w:pPr>
        <w:pStyle w:val="Heading2"/>
      </w:pPr>
      <w:r>
        <w:t xml:space="preserve">5. Cash flow may look temporarily weak</w:t>
      </w:r>
    </w:p>
    <w:p>
      <w:pPr>
        <w:pStyle w:val="FirstParagraph"/>
      </w:pPr>
      <w:r>
        <w:t xml:space="preserve">Q1 operating cash flow was unusually strong at $338 million, partly because of Magic-related collections. Management warned that the cyber incident interrupted invoicing and would shift some Q2 cash receipts into Q3.</w:t>
      </w:r>
    </w:p>
    <w:p>
      <w:pPr>
        <w:pStyle w:val="BodyText"/>
      </w:pPr>
      <w:r>
        <w:t xml:space="preserve">Accordingly, a weak Q2 cash-flow number should not automatically be viewed as a deterioration in earnings quality. The important items are:</w:t>
      </w:r>
    </w:p>
    <w:p>
      <w:pPr>
        <w:pStyle w:val="Compact"/>
        <w:numPr>
          <w:ilvl w:val="0"/>
          <w:numId w:val="1008"/>
        </w:numPr>
      </w:pPr>
      <w:r>
        <w:t xml:space="preserve">The amount of receivables deferred into Q3;</w:t>
      </w:r>
    </w:p>
    <w:p>
      <w:pPr>
        <w:pStyle w:val="Compact"/>
        <w:numPr>
          <w:ilvl w:val="0"/>
          <w:numId w:val="1008"/>
        </w:numPr>
      </w:pPr>
      <w:r>
        <w:t xml:space="preserve">Whether the invoicing backlog has been cleared;</w:t>
      </w:r>
    </w:p>
    <w:p>
      <w:pPr>
        <w:pStyle w:val="Compact"/>
        <w:numPr>
          <w:ilvl w:val="0"/>
          <w:numId w:val="1008"/>
        </w:numPr>
      </w:pPr>
      <w:r>
        <w:t xml:space="preserve">Full-year cash-conversion expectations;</w:t>
      </w:r>
    </w:p>
    <w:p>
      <w:pPr>
        <w:pStyle w:val="Compact"/>
        <w:numPr>
          <w:ilvl w:val="0"/>
          <w:numId w:val="1008"/>
        </w:numPr>
      </w:pPr>
      <w:r>
        <w:t xml:space="preserve">Debt reduction; and</w:t>
      </w:r>
    </w:p>
    <w:p>
      <w:pPr>
        <w:pStyle w:val="Compact"/>
        <w:numPr>
          <w:ilvl w:val="0"/>
          <w:numId w:val="1008"/>
        </w:numPr>
      </w:pPr>
      <w:r>
        <w:t xml:space="preserve">The pace of share repurchases.</w:t>
      </w:r>
    </w:p>
    <w:p>
      <w:pPr>
        <w:pStyle w:val="FirstParagraph"/>
      </w:pPr>
      <w:r>
        <w:t xml:space="preserve">Hasbro ended Q1 with approximately $1.36 billion of cash and short-term investments against roughly $3.59 billion of debt. It also refinanced its November 2026 maturities and began repurchasing shares under its authorization.</w:t>
      </w:r>
    </w:p>
    <w:p>
      <w:r>
        <w:pict>
          <v:rect style="width:0;height:1.5pt" o:hralign="center" o:hrstd="t" o:hr="t"/>
        </w:pict>
      </w:r>
    </w:p>
    <w:bookmarkEnd w:id="22"/>
    <w:bookmarkStart w:id="23" w:name="potential-stock-reaction-framework"/>
    <w:p>
      <w:pPr>
        <w:pStyle w:val="Heading2"/>
      </w:pPr>
      <w:r>
        <w:t xml:space="preserve">Potential stock-reaction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could look like</w:t>
            </w:r>
          </w:p>
        </w:tc>
      </w:tr>
      <w:tr>
        <w:tc>
          <w:tcPr/>
          <w:p>
            <w:pPr>
              <w:pStyle w:val="Compact"/>
            </w:pPr>
            <w:r>
              <w:rPr>
                <w:b/>
                <w:bCs/>
              </w:rPr>
              <w:t xml:space="preserve">Bull case</w:t>
            </w:r>
          </w:p>
        </w:tc>
        <w:tc>
          <w:tcPr/>
          <w:p>
            <w:pPr>
              <w:pStyle w:val="Compact"/>
            </w:pPr>
            <w:r>
              <w:t xml:space="preserve">Revenue above $1.08B; Wizards exceeds $600M with upper-40% or better margin; Consumer Products disruption is resolved; guidance raised or moved toward the upper end.</w:t>
            </w:r>
          </w:p>
        </w:tc>
      </w:tr>
      <w:tr>
        <w:tc>
          <w:tcPr/>
          <w:p>
            <w:pPr>
              <w:pStyle w:val="Compact"/>
            </w:pPr>
            <w:r>
              <w:rPr>
                <w:b/>
                <w:bCs/>
              </w:rPr>
              <w:t xml:space="preserve">Base case</w:t>
            </w:r>
          </w:p>
        </w:tc>
        <w:tc>
          <w:tcPr/>
          <w:p>
            <w:pPr>
              <w:pStyle w:val="Compact"/>
            </w:pPr>
            <w:r>
              <w:t xml:space="preserve">Revenue around</w:t>
            </w:r>
            <w:r>
              <w:t xml:space="preserve"> </w:t>
            </w:r>
            <m:oMath>
              <m:r>
                <m:t>1.05</m:t>
              </m:r>
              <m:r>
                <m:t>B</m:t>
              </m:r>
              <m:r>
                <m:rPr>
                  <m:sty m:val="p"/>
                </m:rPr>
                <m:t>–</m:t>
              </m:r>
            </m:oMath>
            <w:r>
              <w:t xml:space="preserve">1.07B; EPS near</w:t>
            </w:r>
            <w:r>
              <w:t xml:space="preserve"> </w:t>
            </w:r>
            <m:oMath>
              <m:r>
                <m:t>1.12</m:t>
              </m:r>
              <m:r>
                <m:rPr>
                  <m:sty m:val="p"/>
                </m:rPr>
                <m:t>–</m:t>
              </m:r>
            </m:oMath>
            <w:r>
              <w:t xml:space="preserve">1.15; strong Magic offsets flat Consumer Products; guidance reiterated with confidence in Q3 recovery.</w:t>
            </w:r>
          </w:p>
        </w:tc>
      </w:tr>
      <w:tr>
        <w:tc>
          <w:tcPr/>
          <w:p>
            <w:pPr>
              <w:pStyle w:val="Compact"/>
            </w:pPr>
            <w:r>
              <w:rPr>
                <w:b/>
                <w:bCs/>
              </w:rPr>
              <w:t xml:space="preserve">Bear case</w:t>
            </w:r>
          </w:p>
        </w:tc>
        <w:tc>
          <w:tcPr/>
          <w:p>
            <w:pPr>
              <w:pStyle w:val="Compact"/>
            </w:pPr>
            <w:r>
              <w:t xml:space="preserve">Wizards growth or margin misses; Consumer Products revenue was canceled rather than delayed; cyber recovery slips again; full-year margin or EBITDA guidance is reduced.</w:t>
            </w:r>
          </w:p>
        </w:tc>
      </w:tr>
    </w:tbl>
    <w:bookmarkEnd w:id="23"/>
    <w:bookmarkStart w:id="24" w:name="questions-investors-should-want-answered"/>
    <w:p>
      <w:pPr>
        <w:pStyle w:val="Heading2"/>
      </w:pPr>
      <w:r>
        <w:t xml:space="preserve">Questions investors should want answered</w:t>
      </w:r>
    </w:p>
    <w:p>
      <w:pPr>
        <w:pStyle w:val="Compact"/>
        <w:numPr>
          <w:ilvl w:val="0"/>
          <w:numId w:val="1009"/>
        </w:numPr>
      </w:pPr>
      <w:r>
        <w:t xml:space="preserve">How much Q2 Consumer Products revenue was delayed, and how much is contractually or operationally visible for Q3?</w:t>
      </w:r>
    </w:p>
    <w:p>
      <w:pPr>
        <w:pStyle w:val="Compact"/>
        <w:numPr>
          <w:ilvl w:val="0"/>
          <w:numId w:val="1009"/>
        </w:numPr>
      </w:pPr>
      <w:r>
        <w:t xml:space="preserve">Are all order-management, shipping and invoicing systems fully functional?</w:t>
      </w:r>
    </w:p>
    <w:p>
      <w:pPr>
        <w:pStyle w:val="Compact"/>
        <w:numPr>
          <w:ilvl w:val="0"/>
          <w:numId w:val="1009"/>
        </w:numPr>
      </w:pPr>
      <w:r>
        <w:t xml:space="preserve">How did</w:t>
      </w:r>
      <w:r>
        <w:t xml:space="preserve"> </w:t>
      </w:r>
      <w:r>
        <w:rPr>
          <w:i/>
          <w:iCs/>
        </w:rPr>
        <w:t xml:space="preserve">Secrets of Strixhaven</w:t>
      </w:r>
      <w:r>
        <w:t xml:space="preserve"> </w:t>
      </w:r>
      <w:r>
        <w:t xml:space="preserve">and</w:t>
      </w:r>
      <w:r>
        <w:t xml:space="preserve"> </w:t>
      </w:r>
      <w:r>
        <w:rPr>
          <w:i/>
          <w:iCs/>
        </w:rPr>
        <w:t xml:space="preserve">Marvel Super Heroes</w:t>
      </w:r>
      <w:r>
        <w:t xml:space="preserve"> </w:t>
      </w:r>
      <w:r>
        <w:t xml:space="preserve">perform relative to internal plans?</w:t>
      </w:r>
    </w:p>
    <w:p>
      <w:pPr>
        <w:pStyle w:val="Compact"/>
        <w:numPr>
          <w:ilvl w:val="0"/>
          <w:numId w:val="1009"/>
        </w:numPr>
      </w:pPr>
      <w:r>
        <w:t xml:space="preserve">Is Magic backlist growth continuing after the strong Q1 performance?</w:t>
      </w:r>
    </w:p>
    <w:p>
      <w:pPr>
        <w:pStyle w:val="Compact"/>
        <w:numPr>
          <w:ilvl w:val="0"/>
          <w:numId w:val="1009"/>
        </w:numPr>
      </w:pPr>
      <w:r>
        <w:t xml:space="preserve">How much of Wizards’ growth is coming from licensed sets versus owned IP?</w:t>
      </w:r>
    </w:p>
    <w:p>
      <w:pPr>
        <w:pStyle w:val="Compact"/>
        <w:numPr>
          <w:ilvl w:val="0"/>
          <w:numId w:val="1009"/>
        </w:numPr>
      </w:pPr>
      <w:r>
        <w:t xml:space="preserve">Can Wizards remain above its low-40% full-year margin target despite royalties and video-game investment?</w:t>
      </w:r>
    </w:p>
    <w:p>
      <w:pPr>
        <w:pStyle w:val="Compact"/>
        <w:numPr>
          <w:ilvl w:val="0"/>
          <w:numId w:val="1009"/>
        </w:numPr>
      </w:pPr>
      <w:r>
        <w:t xml:space="preserve">Has the estimate for oil-related cost pressure changed?</w:t>
      </w:r>
    </w:p>
    <w:p>
      <w:pPr>
        <w:pStyle w:val="Compact"/>
        <w:numPr>
          <w:ilvl w:val="0"/>
          <w:numId w:val="1009"/>
        </w:numPr>
      </w:pPr>
      <w:r>
        <w:t xml:space="preserve">Is the company still on track for $150 million of 2026 gross cost savings?</w:t>
      </w:r>
    </w:p>
    <w:p>
      <w:pPr>
        <w:pStyle w:val="Compact"/>
        <w:numPr>
          <w:ilvl w:val="0"/>
          <w:numId w:val="1009"/>
        </w:numPr>
      </w:pPr>
      <w:r>
        <w:t xml:space="preserve">What would be required to raise the</w:t>
      </w:r>
      <w:r>
        <w:t xml:space="preserve"> </w:t>
      </w:r>
      <m:oMath>
        <m:r>
          <m:t>1.40</m:t>
        </m:r>
        <m:r>
          <m:t>B</m:t>
        </m:r>
        <m:r>
          <m:rPr>
            <m:sty m:val="p"/>
          </m:rPr>
          <m:t>–</m:t>
        </m:r>
      </m:oMath>
      <w:r>
        <w:t xml:space="preserve">1.45B adjusted EBITDA outlook?</w:t>
      </w:r>
    </w:p>
    <w:p>
      <w:pPr>
        <w:pStyle w:val="Compact"/>
        <w:numPr>
          <w:ilvl w:val="0"/>
          <w:numId w:val="1009"/>
        </w:numPr>
      </w:pPr>
      <w:r>
        <w:t xml:space="preserve">When should delayed receivables and operating cash flow fully normalize?</w:t>
      </w:r>
    </w:p>
    <w:bookmarkEnd w:id="24"/>
    <w:bookmarkStart w:id="25" w:name="bottom-line"/>
    <w:p>
      <w:pPr>
        <w:pStyle w:val="Heading2"/>
      </w:pPr>
      <w:r>
        <w:t xml:space="preserve">Bottom line</w:t>
      </w:r>
    </w:p>
    <w:p>
      <w:pPr>
        <w:pStyle w:val="FirstParagraph"/>
      </w:pPr>
      <w:r>
        <w:t xml:space="preserve">Hasbro enters Q2 with</w:t>
      </w:r>
      <w:r>
        <w:t xml:space="preserve"> </w:t>
      </w:r>
      <w:r>
        <w:rPr>
          <w:b/>
          <w:bCs/>
        </w:rPr>
        <w:t xml:space="preserve">strong fundamental momentum in its highest-value business but several moving pieces obscuring consolidated results</w:t>
      </w:r>
      <w:r>
        <w:t xml:space="preserve">. The cleanest positive signal would be another Wizards beat combined with confirmation that Consumer Products’ weakness is temporary and operational—not demand-driven.</w:t>
      </w:r>
    </w:p>
    <w:p>
      <w:pPr>
        <w:pStyle w:val="BodyText"/>
      </w:pPr>
      <w:r>
        <w:t xml:space="preserve">The headline revenue and EPS figures matter, but the stock is more likely to respond to three things:</w:t>
      </w:r>
    </w:p>
    <w:p>
      <w:pPr>
        <w:pStyle w:val="Compact"/>
        <w:numPr>
          <w:ilvl w:val="0"/>
          <w:numId w:val="1010"/>
        </w:numPr>
      </w:pPr>
      <w:r>
        <w:rPr>
          <w:b/>
          <w:bCs/>
        </w:rPr>
        <w:t xml:space="preserve">Wizards’ growth and margin quality;</w:t>
      </w:r>
    </w:p>
    <w:p>
      <w:pPr>
        <w:pStyle w:val="Compact"/>
        <w:numPr>
          <w:ilvl w:val="0"/>
          <w:numId w:val="1010"/>
        </w:numPr>
      </w:pPr>
      <w:r>
        <w:rPr>
          <w:b/>
          <w:bCs/>
        </w:rPr>
        <w:t xml:space="preserve">Certainty around the Q3 Consumer Products recovery; and</w:t>
      </w:r>
    </w:p>
    <w:p>
      <w:pPr>
        <w:pStyle w:val="Compact"/>
        <w:numPr>
          <w:ilvl w:val="0"/>
          <w:numId w:val="1010"/>
        </w:numPr>
      </w:pPr>
      <w:r>
        <w:rPr>
          <w:b/>
          <w:bCs/>
        </w:rPr>
        <w:t xml:space="preserve">Whether management raises, narrows or merely reiterates full-year guidance.</w:t>
      </w:r>
    </w:p>
    <w:p>
      <w:pPr>
        <w:pStyle w:val="FirstParagraph"/>
      </w:pPr>
      <w:r>
        <w:t xml:space="preserve">A quarter near consensus with confident guidance could be sufficient given the stock’s decline since Q1. A durable rerating, however, probably requires evidence that Magic can sustain growth while Hasbro converts the Consumer Products recovery into materially better second-half earnings and cash flow.</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hasbro.gcs-web.com/news-releases/news-release-details/hasbro-announce-second-quarter-2026-earnings-july-21-2026?utm_source=openai" TargetMode="External" /><Relationship Type="http://schemas.openxmlformats.org/officeDocument/2006/relationships/hyperlink" Id="rId13" Target="https://investor.hasbro.com/node/38146/pdf?utm_source=openai" TargetMode="External" /><Relationship Type="http://schemas.openxmlformats.org/officeDocument/2006/relationships/hyperlink" Id="rId11" Target="https://www.marketbeat.com/earnings/reports/2026-7-21-hasbro-in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hasbro.gcs-web.com/news-releases/news-release-details/hasbro-announce-second-quarter-2026-earnings-july-21-2026?utm_source=openai" TargetMode="External" /><Relationship Type="http://schemas.openxmlformats.org/officeDocument/2006/relationships/hyperlink" Id="rId13" Target="https://investor.hasbro.com/node/38146/pdf?utm_source=openai" TargetMode="External" /><Relationship Type="http://schemas.openxmlformats.org/officeDocument/2006/relationships/hyperlink" Id="rId11" Target="https://www.marketbeat.com/earnings/reports/2026-7-21-hasbro-in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2026-07-21T00:28:51Z</dcterms:created>
  <dcterms:modified xsi:type="dcterms:W3CDTF">2026-07-21T00:28:51Z</dcterms:modified>
</cp:coreProperties>
</file>

<file path=docProps/custom.xml><?xml version="1.0" encoding="utf-8"?>
<Properties xmlns="http://schemas.openxmlformats.org/officeDocument/2006/custom-properties" xmlns:vt="http://schemas.openxmlformats.org/officeDocument/2006/docPropsVTypes"/>
</file>