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hasbro-nasdaq-has--2q26-earnings-preview"/>
    <w:p>
      <w:pPr>
        <w:pStyle w:val="Heading1"/>
      </w:pPr>
      <w:r>
        <w:t xml:space="preserve">Hasbro (NASDAQ: HAS) — 2Q26 Earnings Preview</w:t>
      </w:r>
    </w:p>
    <w:p>
      <w:pPr>
        <w:pStyle w:val="BlockText"/>
      </w:pPr>
      <w:r>
        <w:rPr>
          <w:b/>
          <w:bCs/>
        </w:rPr>
        <w:t xml:space="preserve">Timing note:</w:t>
      </w:r>
      <w:r>
        <w:t xml:space="preserve"> </w:t>
      </w:r>
      <w:r>
        <w:t xml:space="preserve">The event date provided is</w:t>
      </w:r>
      <w:r>
        <w:t xml:space="preserve"> </w:t>
      </w:r>
      <w:r>
        <w:rPr>
          <w:b/>
          <w:bCs/>
        </w:rPr>
        <w:t xml:space="preserve">July 21, 2026</w:t>
      </w:r>
      <w:r>
        <w:t xml:space="preserve">. As of</w:t>
      </w:r>
      <w:r>
        <w:t xml:space="preserve"> </w:t>
      </w:r>
      <w:r>
        <w:rPr>
          <w:b/>
          <w:bCs/>
        </w:rPr>
        <w:t xml:space="preserve">Tuesday, July 21</w:t>
      </w:r>
      <w:r>
        <w:t xml:space="preserve">, Hasbro is scheduled to report</w:t>
      </w:r>
      <w:r>
        <w:t xml:space="preserve"> </w:t>
      </w:r>
      <w:r>
        <w:rPr>
          <w:b/>
          <w:bCs/>
        </w:rPr>
        <w:t xml:space="preserve">today, before the U.S. market opens</w:t>
      </w:r>
      <w:r>
        <w:t xml:space="preserve">—not tomorrow.</w:t>
      </w:r>
    </w:p>
    <w:bookmarkStart w:id="9" w:name="investment-framing"/>
    <w:p>
      <w:pPr>
        <w:pStyle w:val="Heading2"/>
      </w:pPr>
      <w:r>
        <w:t xml:space="preserve">Investment framing</w:t>
      </w:r>
    </w:p>
    <w:p>
      <w:pPr>
        <w:pStyle w:val="FirstParagraph"/>
      </w:pPr>
      <w:r>
        <w:t xml:space="preserve">Hasbro’s 2Q26 report is primarily a test of whether the company can translate exceptional</w:t>
      </w:r>
      <w:r>
        <w:t xml:space="preserve"> </w:t>
      </w:r>
      <w:r>
        <w:rPr>
          <w:i/>
          <w:iCs/>
        </w:rPr>
        <w:t xml:space="preserve">MAGIC: THE GATHERING</w:t>
      </w:r>
      <w:r>
        <w:t xml:space="preserve"> </w:t>
      </w:r>
      <w:r>
        <w:t xml:space="preserve">momentum into another earnings beat while navigating a deliberately weaker-looking Consumer Products quarter caused by the spring cybersecurity incident.</w:t>
      </w:r>
    </w:p>
    <w:p>
      <w:pPr>
        <w:pStyle w:val="BodyText"/>
      </w:pPr>
      <w:r>
        <w:t xml:space="preserve">The key nuance: management has already told investors that roughly</w:t>
      </w:r>
      <w:r>
        <w:t xml:space="preserve"> </w:t>
      </w:r>
      <m:oMath>
        <m:r>
          <m:t>40</m:t>
        </m:r>
        <m:r>
          <m:t>m</m:t>
        </m:r>
        <m:r>
          <m:t>i</m:t>
        </m:r>
        <m:r>
          <m:t>l</m:t>
        </m:r>
        <m:r>
          <m:t>l</m:t>
        </m:r>
        <m:r>
          <m:t>i</m:t>
        </m:r>
        <m:r>
          <m:t>o</m:t>
        </m:r>
        <m:r>
          <m:t>n</m:t>
        </m:r>
        <m:r>
          <m:rPr>
            <m:sty m:val="p"/>
          </m:rPr>
          <m:t>–</m:t>
        </m:r>
      </m:oMath>
      <w:r>
        <w:rPr>
          <w:b/>
          <w:bCs/>
        </w:rPr>
        <w:t xml:space="preserve">60 million of Consumer Products revenue would shift from 2Q into the second half</w:t>
      </w:r>
      <w:r>
        <w:t xml:space="preserve">, principally 3Q, because systems disruptions delayed orders and invoicing. Therefore, a soft Consumer Products result alone should not be viewed as evidence of demand deterioration—unless management signals that the recovery is slipping, retailer orders are weakening, or the delayed revenue cannot be fully recaptured.</w:t>
      </w:r>
    </w:p>
    <w:p>
      <w:pPr>
        <w:pStyle w:val="BodyText"/>
      </w:pPr>
      <w:r>
        <w:t xml:space="preserve">The larger question for the stock is whether</w:t>
      </w:r>
      <w:r>
        <w:t xml:space="preserve"> </w:t>
      </w:r>
      <w:r>
        <w:rPr>
          <w:b/>
          <w:bCs/>
        </w:rPr>
        <w:t xml:space="preserve">Wizards of the Coast</w:t>
      </w:r>
      <w:r>
        <w:t xml:space="preserve"> </w:t>
      </w:r>
      <w:r>
        <w:t xml:space="preserve">can continue to offset that volatility. After a record 1Q, Hasbro said its</w:t>
      </w:r>
      <w:r>
        <w:t xml:space="preserve"> </w:t>
      </w:r>
      <w:r>
        <w:rPr>
          <w:i/>
          <w:iCs/>
        </w:rPr>
        <w:t xml:space="preserve">Secrets of Strixhaven</w:t>
      </w:r>
      <w:r>
        <w:t xml:space="preserve"> </w:t>
      </w:r>
      <w:r>
        <w:t xml:space="preserve">release had already exceeded the prior record set by</w:t>
      </w:r>
      <w:r>
        <w:t xml:space="preserve"> </w:t>
      </w:r>
      <w:r>
        <w:rPr>
          <w:i/>
          <w:iCs/>
        </w:rPr>
        <w:t xml:space="preserve">Lorwyn Eclipsed</w:t>
      </w:r>
      <w:r>
        <w:t xml:space="preserve">, while its Marvel-related</w:t>
      </w:r>
      <w:r>
        <w:t xml:space="preserve"> </w:t>
      </w:r>
      <w:r>
        <w:rPr>
          <w:i/>
          <w:iCs/>
        </w:rPr>
        <w:t xml:space="preserve">MAGIC</w:t>
      </w:r>
      <w:r>
        <w:t xml:space="preserve"> </w:t>
      </w:r>
      <w:r>
        <w:t xml:space="preserve">release was expected to support a strong second quarter. That sets a high bar: investors will want confirmation not simply of strong sales, but of sustained player engagement, backlist demand, margins, and a credible growth trajectory after the unusually strong release cadence moderates later this year.</w:t>
      </w:r>
    </w:p>
    <w:bookmarkEnd w:id="9"/>
    <w:bookmarkStart w:id="10" w:name="what-the-street-is-looking-for"/>
    <w:p>
      <w:pPr>
        <w:pStyle w:val="Heading2"/>
      </w:pPr>
      <w:r>
        <w:t xml:space="preserve">What the Street is looking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Street view</w:t>
            </w:r>
          </w:p>
        </w:tc>
        <w:tc>
          <w:tcPr/>
          <w:p>
            <w:pPr>
              <w:pStyle w:val="Compact"/>
              <w:jc w:val="right"/>
            </w:pPr>
            <w:r>
              <w:t xml:space="preserve">2Q25 actual</w:t>
            </w:r>
          </w:p>
        </w:tc>
        <w:tc>
          <w:tcPr/>
          <w:p>
            <w:pPr>
              <w:pStyle w:val="Compact"/>
              <w:jc w:val="right"/>
            </w:pPr>
            <w:r>
              <w:t xml:space="preserve">Implied YoY</w:t>
            </w:r>
          </w:p>
        </w:tc>
      </w:tr>
      <w:tr>
        <w:tc>
          <w:tcPr/>
          <w:p>
            <w:pPr>
              <w:pStyle w:val="Compact"/>
            </w:pPr>
            <w:r>
              <w:t xml:space="preserve">Total revenue</w:t>
            </w:r>
          </w:p>
        </w:tc>
        <w:tc>
          <w:tcPr/>
          <w:p>
            <w:pPr>
              <w:pStyle w:val="Compact"/>
              <w:jc w:val="right"/>
            </w:pPr>
            <w:r>
              <w:rPr>
                <w:b/>
                <w:bCs/>
              </w:rPr>
              <w:t xml:space="preserve">~$1.06B</w:t>
            </w:r>
          </w:p>
        </w:tc>
        <w:tc>
          <w:tcPr/>
          <w:p>
            <w:pPr>
              <w:pStyle w:val="Compact"/>
              <w:jc w:val="right"/>
            </w:pPr>
            <w:r>
              <w:t xml:space="preserve">$981M</w:t>
            </w:r>
          </w:p>
        </w:tc>
        <w:tc>
          <w:tcPr/>
          <w:p>
            <w:pPr>
              <w:pStyle w:val="Compact"/>
              <w:jc w:val="right"/>
            </w:pPr>
            <w:r>
              <w:rPr>
                <w:b/>
                <w:bCs/>
              </w:rPr>
              <w:t xml:space="preserve">+8.1%</w:t>
            </w:r>
          </w:p>
        </w:tc>
      </w:tr>
      <w:tr>
        <w:tc>
          <w:tcPr/>
          <w:p>
            <w:pPr>
              <w:pStyle w:val="Compact"/>
            </w:pPr>
            <w:r>
              <w:t xml:space="preserve">Wizards &amp; Digital Gaming revenue</w:t>
            </w:r>
          </w:p>
        </w:tc>
        <w:tc>
          <w:tcPr/>
          <w:p>
            <w:pPr>
              <w:pStyle w:val="Compact"/>
              <w:jc w:val="right"/>
            </w:pPr>
            <w:r>
              <w:rPr>
                <w:b/>
                <w:bCs/>
              </w:rPr>
              <w:t xml:space="preserve">~$597M</w:t>
            </w:r>
          </w:p>
        </w:tc>
        <w:tc>
          <w:tcPr/>
          <w:p>
            <w:pPr>
              <w:pStyle w:val="Compact"/>
              <w:jc w:val="right"/>
            </w:pPr>
            <w:r>
              <w:t xml:space="preserve">$522M</w:t>
            </w:r>
          </w:p>
        </w:tc>
        <w:tc>
          <w:tcPr/>
          <w:p>
            <w:pPr>
              <w:pStyle w:val="Compact"/>
              <w:jc w:val="right"/>
            </w:pPr>
            <w:r>
              <w:rPr>
                <w:b/>
                <w:bCs/>
              </w:rPr>
              <w:t xml:space="preserve">+14.3%</w:t>
            </w:r>
          </w:p>
        </w:tc>
      </w:tr>
      <w:tr>
        <w:tc>
          <w:tcPr/>
          <w:p>
            <w:pPr>
              <w:pStyle w:val="Compact"/>
            </w:pPr>
            <w:r>
              <w:t xml:space="preserve">Physical toys / Consumer Products revenue</w:t>
            </w:r>
          </w:p>
        </w:tc>
        <w:tc>
          <w:tcPr/>
          <w:p>
            <w:pPr>
              <w:pStyle w:val="Compact"/>
              <w:jc w:val="right"/>
            </w:pPr>
            <w:r>
              <w:rPr>
                <w:b/>
                <w:bCs/>
              </w:rPr>
              <w:t xml:space="preserve">~$448M</w:t>
            </w:r>
          </w:p>
        </w:tc>
        <w:tc>
          <w:tcPr/>
          <w:p>
            <w:pPr>
              <w:pStyle w:val="Compact"/>
              <w:jc w:val="right"/>
            </w:pPr>
            <w:r>
              <w:t xml:space="preserve">$442M</w:t>
            </w:r>
          </w:p>
        </w:tc>
        <w:tc>
          <w:tcPr/>
          <w:p>
            <w:pPr>
              <w:pStyle w:val="Compact"/>
              <w:jc w:val="right"/>
            </w:pPr>
            <w:r>
              <w:rPr>
                <w:b/>
                <w:bCs/>
              </w:rPr>
              <w:t xml:space="preserve">~Flat</w:t>
            </w:r>
          </w:p>
        </w:tc>
      </w:tr>
    </w:tbl>
    <w:p>
      <w:pPr>
        <w:pStyle w:val="BodyText"/>
      </w:pPr>
      <w:r>
        <w:t xml:space="preserve">The revenue outlook implies that the market is already expecting Wizards to carry the quarter, while Consumer Products remains subdued due to the cyber-related shipment and invoicing delay.</w:t>
      </w:r>
    </w:p>
    <w:p>
      <w:pPr>
        <w:pStyle w:val="BodyText"/>
      </w:pPr>
      <w:r>
        <w:t xml:space="preserve">For context, 2Q25 included a highly successful</w:t>
      </w:r>
      <w:r>
        <w:t xml:space="preserve"> </w:t>
      </w:r>
      <w:r>
        <w:rPr>
          <w:i/>
          <w:iCs/>
        </w:rPr>
        <w:t xml:space="preserve">Final Fantasy</w:t>
      </w:r>
      <w:r>
        <w:t xml:space="preserve"> </w:t>
      </w:r>
      <w:r>
        <w:rPr>
          <w:i/>
          <w:iCs/>
        </w:rPr>
        <w:t xml:space="preserve">MAGIC</w:t>
      </w:r>
      <w:r>
        <w:t xml:space="preserve"> </w:t>
      </w:r>
      <w:r>
        <w:t xml:space="preserve">release, which drove</w:t>
      </w:r>
      <w:r>
        <w:t xml:space="preserve"> </w:t>
      </w:r>
      <w:r>
        <w:rPr>
          <w:i/>
          <w:iCs/>
        </w:rPr>
        <w:t xml:space="preserve">MAGIC</w:t>
      </w:r>
      <w:r>
        <w:t xml:space="preserve"> </w:t>
      </w:r>
      <w:r>
        <w:t xml:space="preserve">revenue up 23% year over year. That makes the expected double-digit Wizards growth in 2Q26 a demanding comparison, even with the strong current product slate.</w:t>
      </w:r>
    </w:p>
    <w:bookmarkEnd w:id="10"/>
    <w:bookmarkStart w:id="14" w:name="X4d44aa1031d2b51b89200a09041e318a39aea01"/>
    <w:p>
      <w:pPr>
        <w:pStyle w:val="Heading2"/>
      </w:pPr>
      <w:r>
        <w:t xml:space="preserve">The core debate: strong underlying demand versus timing and cost noise</w:t>
      </w:r>
    </w:p>
    <w:bookmarkStart w:id="11" w:name="X6f80138b88eb81a2d0a6ffbf8177a73f1e214fd"/>
    <w:p>
      <w:pPr>
        <w:pStyle w:val="Heading3"/>
      </w:pPr>
      <w:r>
        <w:t xml:space="preserve">1. Wizards is the swing factor—and expectations are elevated</w:t>
      </w:r>
    </w:p>
    <w:p>
      <w:pPr>
        <w:pStyle w:val="FirstParagraph"/>
      </w:pPr>
      <w:r>
        <w:t xml:space="preserve">Wizards generated</w:t>
      </w:r>
      <w:r>
        <w:t xml:space="preserve"> </w:t>
      </w:r>
      <w:r>
        <w:rPr>
          <w:b/>
          <w:bCs/>
        </w:rPr>
        <w:t xml:space="preserve">$582 million of revenue</w:t>
      </w:r>
      <w:r>
        <w:t xml:space="preserve">, up</w:t>
      </w:r>
      <w:r>
        <w:t xml:space="preserve"> </w:t>
      </w:r>
      <w:r>
        <w:rPr>
          <w:b/>
          <w:bCs/>
        </w:rPr>
        <w:t xml:space="preserve">26%</w:t>
      </w:r>
      <w:r>
        <w:t xml:space="preserve">, in 1Q26 and delivered a</w:t>
      </w:r>
      <w:r>
        <w:t xml:space="preserve"> </w:t>
      </w:r>
      <w:r>
        <w:rPr>
          <w:b/>
          <w:bCs/>
        </w:rPr>
        <w:t xml:space="preserve">51.2% operating margin</w:t>
      </w:r>
      <w:r>
        <w:t xml:space="preserve">.</w:t>
      </w:r>
      <w:r>
        <w:t xml:space="preserve"> </w:t>
      </w:r>
      <w:r>
        <w:rPr>
          <w:i/>
          <w:iCs/>
        </w:rPr>
        <w:t xml:space="preserve">MAGIC</w:t>
      </w:r>
      <w:r>
        <w:t xml:space="preserve"> </w:t>
      </w:r>
      <w:r>
        <w:t xml:space="preserve">revenue grew 36%, driven by both proprietary sets and Universes Beyond collaborations; management also cited record backlist sales and expanding organized-play participation.</w:t>
      </w:r>
    </w:p>
    <w:p>
      <w:pPr>
        <w:pStyle w:val="BodyText"/>
      </w:pPr>
      <w:r>
        <w:t xml:space="preserve">For 2Q, investors should focus on:</w:t>
      </w:r>
    </w:p>
    <w:p>
      <w:pPr>
        <w:pStyle w:val="Compact"/>
        <w:numPr>
          <w:ilvl w:val="0"/>
          <w:numId w:val="1001"/>
        </w:numPr>
      </w:pPr>
      <w:r>
        <w:rPr>
          <w:b/>
          <w:bCs/>
        </w:rPr>
        <w:t xml:space="preserve">Magnitude of Wizards growth:</w:t>
      </w:r>
      <w:r>
        <w:t xml:space="preserve"> </w:t>
      </w:r>
      <w:r>
        <w:t xml:space="preserve">Can the segment exceed the approximately 14% growth embedded in expectations?</w:t>
      </w:r>
    </w:p>
    <w:p>
      <w:pPr>
        <w:pStyle w:val="Compact"/>
        <w:numPr>
          <w:ilvl w:val="0"/>
          <w:numId w:val="1001"/>
        </w:numPr>
      </w:pPr>
      <w:r>
        <w:rPr>
          <w:b/>
          <w:bCs/>
        </w:rPr>
        <w:t xml:space="preserve">MAGIC durability:</w:t>
      </w:r>
      <w:r>
        <w:t xml:space="preserve"> </w:t>
      </w:r>
      <w:r>
        <w:t xml:space="preserve">Evidence that recent releases are creating new, retained players rather than merely pulling forward collector demand.</w:t>
      </w:r>
    </w:p>
    <w:p>
      <w:pPr>
        <w:pStyle w:val="Compact"/>
        <w:numPr>
          <w:ilvl w:val="0"/>
          <w:numId w:val="1001"/>
        </w:numPr>
      </w:pPr>
      <w:r>
        <w:rPr>
          <w:b/>
          <w:bCs/>
        </w:rPr>
        <w:t xml:space="preserve">Backlist and Secret Lair:</w:t>
      </w:r>
      <w:r>
        <w:t xml:space="preserve"> </w:t>
      </w:r>
      <w:r>
        <w:t xml:space="preserve">These are important indicators that the ecosystem is broadening beyond individual set launches.</w:t>
      </w:r>
    </w:p>
    <w:p>
      <w:pPr>
        <w:pStyle w:val="Compact"/>
        <w:numPr>
          <w:ilvl w:val="0"/>
          <w:numId w:val="1001"/>
        </w:numPr>
      </w:pPr>
      <w:r>
        <w:rPr>
          <w:b/>
          <w:bCs/>
        </w:rPr>
        <w:t xml:space="preserve">Digital and licensing:</w:t>
      </w:r>
      <w:r>
        <w:t xml:space="preserve"> </w:t>
      </w:r>
      <w:r>
        <w:t xml:space="preserve">Monopoly Go! contributed $41 million in 1Q, versus $44 million in 2Q25. Stability or growth here supports a more diversified Wizards earnings base.</w:t>
      </w:r>
    </w:p>
    <w:p>
      <w:pPr>
        <w:pStyle w:val="Compact"/>
        <w:numPr>
          <w:ilvl w:val="0"/>
          <w:numId w:val="1001"/>
        </w:numPr>
      </w:pPr>
      <w:r>
        <w:rPr>
          <w:b/>
          <w:bCs/>
        </w:rPr>
        <w:t xml:space="preserve">Margin progression:</w:t>
      </w:r>
      <w:r>
        <w:t xml:space="preserve"> </w:t>
      </w:r>
      <w:r>
        <w:t xml:space="preserve">Higher royalties and investment behind the 2027 digital launches,</w:t>
      </w:r>
      <w:r>
        <w:t xml:space="preserve"> </w:t>
      </w:r>
      <w:r>
        <w:rPr>
          <w:i/>
          <w:iCs/>
        </w:rPr>
        <w:t xml:space="preserve">Exodus</w:t>
      </w:r>
      <w:r>
        <w:t xml:space="preserve"> </w:t>
      </w:r>
      <w:r>
        <w:t xml:space="preserve">and</w:t>
      </w:r>
      <w:r>
        <w:t xml:space="preserve"> </w:t>
      </w:r>
      <w:r>
        <w:rPr>
          <w:i/>
          <w:iCs/>
        </w:rPr>
        <w:t xml:space="preserve">Warlock</w:t>
      </w:r>
      <w:r>
        <w:t xml:space="preserve">, are expected to weigh on Wizards margins over the balance of the year. A material margin decline would matter even if revenue beats.</w:t>
      </w:r>
    </w:p>
    <w:p>
      <w:pPr>
        <w:pStyle w:val="FirstParagraph"/>
      </w:pPr>
      <w:r>
        <w:t xml:space="preserve">Management’s prior commentary pointed to</w:t>
      </w:r>
      <w:r>
        <w:t xml:space="preserve"> </w:t>
      </w:r>
      <w:r>
        <w:rPr>
          <w:b/>
          <w:bCs/>
        </w:rPr>
        <w:t xml:space="preserve">robust 2Q Wizards revenue</w:t>
      </w:r>
      <w:r>
        <w:t xml:space="preserve">, followed by more moderate growth in 3Q and a potentially difficult 4Q comparison. Thus, a beat may be less important than the outlook for the back half.</w:t>
      </w:r>
    </w:p>
    <w:bookmarkEnd w:id="11"/>
    <w:bookmarkStart w:id="12" w:name="X188cd76b73534844cd6928d4e0eaea54f40cbc5"/>
    <w:p>
      <w:pPr>
        <w:pStyle w:val="Heading3"/>
      </w:pPr>
      <w:r>
        <w:t xml:space="preserve">2. Consumer Products: distinguish delayed revenue from weak demand</w:t>
      </w:r>
    </w:p>
    <w:p>
      <w:pPr>
        <w:pStyle w:val="FirstParagraph"/>
      </w:pPr>
      <w:r>
        <w:t xml:space="preserve">Consumer Products revenue was flat in 1Q26, but the segment posted an adjusted operating loss of</w:t>
      </w:r>
      <w:r>
        <w:t xml:space="preserve"> </w:t>
      </w:r>
      <w:r>
        <w:rPr>
          <w:b/>
          <w:bCs/>
        </w:rPr>
        <w:t xml:space="preserve">$41 million</w:t>
      </w:r>
      <w:r>
        <w:t xml:space="preserve"> </w:t>
      </w:r>
      <w:r>
        <w:t xml:space="preserve">because of normal seasonal losses, higher royalties, tariff expense, and unfavorable licensing comparisons.</w:t>
      </w:r>
    </w:p>
    <w:p>
      <w:pPr>
        <w:pStyle w:val="BodyText"/>
      </w:pPr>
      <w:r>
        <w:t xml:space="preserve">For 2Q, management previously guided to only</w:t>
      </w:r>
      <w:r>
        <w:t xml:space="preserve"> </w:t>
      </w:r>
      <w:r>
        <w:rPr>
          <w:b/>
          <w:bCs/>
        </w:rPr>
        <w:t xml:space="preserve">low-single-digit Consumer Products growth</w:t>
      </w:r>
      <w:r>
        <w:t xml:space="preserve">, versus its earlier expectation for a much stronger quarter, because the cybersecurity incident delayed</w:t>
      </w:r>
      <w:r>
        <w:t xml:space="preserve"> </w:t>
      </w:r>
      <m:oMath>
        <m:r>
          <m:t>40</m:t>
        </m:r>
        <m:r>
          <m:t>m</m:t>
        </m:r>
        <m:r>
          <m:t>i</m:t>
        </m:r>
        <m:r>
          <m:t>l</m:t>
        </m:r>
        <m:r>
          <m:t>l</m:t>
        </m:r>
        <m:r>
          <m:t>i</m:t>
        </m:r>
        <m:r>
          <m:t>o</m:t>
        </m:r>
        <m:r>
          <m:t>n</m:t>
        </m:r>
        <m:r>
          <m:rPr>
            <m:sty m:val="p"/>
          </m:rPr>
          <m:t>–</m:t>
        </m:r>
      </m:oMath>
      <w:r>
        <w:rPr>
          <w:b/>
          <w:bCs/>
        </w:rPr>
        <w:t xml:space="preserve">60 million</w:t>
      </w:r>
      <w:r>
        <w:t xml:space="preserve"> </w:t>
      </w:r>
      <w:r>
        <w:t xml:space="preserve">of revenue into the second half.</w:t>
      </w:r>
    </w:p>
    <w:p>
      <w:pPr>
        <w:pStyle w:val="BodyText"/>
      </w:pPr>
      <w:r>
        <w:t xml:space="preserve">The key items to assess:</w:t>
      </w:r>
    </w:p>
    <w:p>
      <w:pPr>
        <w:pStyle w:val="Compact"/>
        <w:numPr>
          <w:ilvl w:val="0"/>
          <w:numId w:val="1002"/>
        </w:numPr>
      </w:pPr>
      <w:r>
        <w:rPr>
          <w:b/>
          <w:bCs/>
        </w:rPr>
        <w:t xml:space="preserve">Recovery confidence:</w:t>
      </w:r>
      <w:r>
        <w:t xml:space="preserve"> </w:t>
      </w:r>
      <w:r>
        <w:t xml:space="preserve">Is the bulk of delayed revenue still expected to land in 3Q?</w:t>
      </w:r>
    </w:p>
    <w:p>
      <w:pPr>
        <w:pStyle w:val="Compact"/>
        <w:numPr>
          <w:ilvl w:val="0"/>
          <w:numId w:val="1002"/>
        </w:numPr>
      </w:pPr>
      <w:r>
        <w:rPr>
          <w:b/>
          <w:bCs/>
        </w:rPr>
        <w:t xml:space="preserve">Point-of-sale and retail inventory:</w:t>
      </w:r>
      <w:r>
        <w:t xml:space="preserve"> </w:t>
      </w:r>
      <w:r>
        <w:t xml:space="preserve">Management had said both POS and inventory levels were healthy. Confirmation matters more than shipments in this particular quarter.</w:t>
      </w:r>
    </w:p>
    <w:p>
      <w:pPr>
        <w:pStyle w:val="Compact"/>
        <w:numPr>
          <w:ilvl w:val="0"/>
          <w:numId w:val="1002"/>
        </w:numPr>
      </w:pPr>
      <w:r>
        <w:rPr>
          <w:b/>
          <w:bCs/>
        </w:rPr>
        <w:t xml:space="preserve">Entertainment-tied toys:</w:t>
      </w:r>
      <w:r>
        <w:t xml:space="preserve"> </w:t>
      </w:r>
      <w:r>
        <w:t xml:space="preserve">Star Wars,</w:t>
      </w:r>
      <w:r>
        <w:t xml:space="preserve"> </w:t>
      </w:r>
      <w:r>
        <w:rPr>
          <w:i/>
          <w:iCs/>
        </w:rPr>
        <w:t xml:space="preserve">The Mandalorian and Grogu</w:t>
      </w:r>
      <w:r>
        <w:t xml:space="preserve">,</w:t>
      </w:r>
      <w:r>
        <w:t xml:space="preserve"> </w:t>
      </w:r>
      <w:r>
        <w:rPr>
          <w:i/>
          <w:iCs/>
        </w:rPr>
        <w:t xml:space="preserve">Toy Story 5</w:t>
      </w:r>
      <w:r>
        <w:t xml:space="preserve">, Spider-Man, Marvel, FIFA MONOPOLY, K-Pop Demon Hunters, and new Play-Doh initiatives are intended to support the second-half Consumer Products ramp.</w:t>
      </w:r>
    </w:p>
    <w:p>
      <w:pPr>
        <w:pStyle w:val="Compact"/>
        <w:numPr>
          <w:ilvl w:val="0"/>
          <w:numId w:val="1002"/>
        </w:numPr>
      </w:pPr>
      <w:r>
        <w:rPr>
          <w:b/>
          <w:bCs/>
        </w:rPr>
        <w:t xml:space="preserve">North American demand:</w:t>
      </w:r>
      <w:r>
        <w:t xml:space="preserve"> </w:t>
      </w:r>
      <w:r>
        <w:t xml:space="preserve">North America declined 7% in Consumer Products in 1Q, while Europe grew 17%. A stabilization in North America would be constructive.</w:t>
      </w:r>
    </w:p>
    <w:p>
      <w:pPr>
        <w:pStyle w:val="Compact"/>
        <w:numPr>
          <w:ilvl w:val="0"/>
          <w:numId w:val="1002"/>
        </w:numPr>
      </w:pPr>
      <w:r>
        <w:rPr>
          <w:b/>
          <w:bCs/>
        </w:rPr>
        <w:t xml:space="preserve">Operating-margin trajectory:</w:t>
      </w:r>
      <w:r>
        <w:t xml:space="preserve"> </w:t>
      </w:r>
      <w:r>
        <w:t xml:space="preserve">Full-year Consumer Products margin guidance is 6%–8%, with margin improvement intended to accelerate through the second half.</w:t>
      </w:r>
    </w:p>
    <w:p>
      <w:pPr>
        <w:pStyle w:val="FirstParagraph"/>
      </w:pPr>
      <w:r>
        <w:t xml:space="preserve">A modest revenue miss in Consumer Products could be tolerable if the timing shift is intact and margins hold. A miss accompanied by weaker POS, retailer caution, or additional systems-related disruption would be a more meaningful negative.</w:t>
      </w:r>
    </w:p>
    <w:bookmarkEnd w:id="12"/>
    <w:bookmarkStart w:id="13" w:name="Xbfac496e2f28717726269eedb3c0de023fb3cdb"/>
    <w:p>
      <w:pPr>
        <w:pStyle w:val="Heading3"/>
      </w:pPr>
      <w:r>
        <w:t xml:space="preserve">3. Cost pressures and margins are likely to be the most important guidance issue</w:t>
      </w:r>
    </w:p>
    <w:p>
      <w:pPr>
        <w:pStyle w:val="FirstParagraph"/>
      </w:pPr>
      <w:r>
        <w:t xml:space="preserve">Hasbro maintained 2026 guidance after 1Q for:</w:t>
      </w:r>
    </w:p>
    <w:p>
      <w:pPr>
        <w:pStyle w:val="Compact"/>
        <w:numPr>
          <w:ilvl w:val="0"/>
          <w:numId w:val="1003"/>
        </w:numPr>
      </w:pPr>
      <w:r>
        <w:rPr>
          <w:b/>
          <w:bCs/>
        </w:rPr>
        <w:t xml:space="preserve">Revenue growth:</w:t>
      </w:r>
      <w:r>
        <w:t xml:space="preserve"> </w:t>
      </w:r>
      <w:r>
        <w:t xml:space="preserve">3%–5% in constant currency</w:t>
      </w:r>
    </w:p>
    <w:p>
      <w:pPr>
        <w:pStyle w:val="Compact"/>
        <w:numPr>
          <w:ilvl w:val="0"/>
          <w:numId w:val="1003"/>
        </w:numPr>
      </w:pPr>
      <w:r>
        <w:rPr>
          <w:b/>
          <w:bCs/>
        </w:rPr>
        <w:t xml:space="preserve">Adjusted operating margin:</w:t>
      </w:r>
      <w:r>
        <w:t xml:space="preserve"> </w:t>
      </w:r>
      <w:r>
        <w:t xml:space="preserve">24%–25%</w:t>
      </w:r>
    </w:p>
    <w:p>
      <w:pPr>
        <w:pStyle w:val="Compact"/>
        <w:numPr>
          <w:ilvl w:val="0"/>
          <w:numId w:val="1003"/>
        </w:numPr>
      </w:pPr>
      <w:r>
        <w:rPr>
          <w:b/>
          <w:bCs/>
        </w:rPr>
        <w:t xml:space="preserve">Adjusted EBITDA:</w:t>
      </w:r>
      <w:r>
        <w:t xml:space="preserve"> </w:t>
      </w:r>
      <m:oMath>
        <m:r>
          <m:t>1.40</m:t>
        </m:r>
        <m:r>
          <m:t>B</m:t>
        </m:r>
        <m:r>
          <m:rPr>
            <m:sty m:val="p"/>
          </m:rPr>
          <m:t>–</m:t>
        </m:r>
      </m:oMath>
      <w:r>
        <w:t xml:space="preserve">1.45B</w:t>
      </w:r>
    </w:p>
    <w:p>
      <w:pPr>
        <w:pStyle w:val="FirstParagraph"/>
      </w:pPr>
      <w:r>
        <w:t xml:space="preserve">The company has several moving pieces underneath that outlook:</w:t>
      </w:r>
    </w:p>
    <w:p>
      <w:pPr>
        <w:pStyle w:val="Compact"/>
        <w:numPr>
          <w:ilvl w:val="0"/>
          <w:numId w:val="1004"/>
        </w:numPr>
      </w:pPr>
      <w:r>
        <w:t xml:space="preserve">About</w:t>
      </w:r>
      <w:r>
        <w:t xml:space="preserve"> </w:t>
      </w:r>
      <w:r>
        <w:rPr>
          <w:b/>
          <w:bCs/>
        </w:rPr>
        <w:t xml:space="preserve">$150 million</w:t>
      </w:r>
      <w:r>
        <w:t xml:space="preserve"> </w:t>
      </w:r>
      <w:r>
        <w:t xml:space="preserve">of gross cost savings planned for 2026; $37 million was delivered in 1Q.</w:t>
      </w:r>
    </w:p>
    <w:p>
      <w:pPr>
        <w:pStyle w:val="Compact"/>
        <w:numPr>
          <w:ilvl w:val="0"/>
          <w:numId w:val="1004"/>
        </w:numPr>
      </w:pPr>
      <w:r>
        <w:t xml:space="preserve">Roughly</w:t>
      </w:r>
      <w:r>
        <w:t xml:space="preserve"> </w:t>
      </w:r>
      <w:r>
        <w:rPr>
          <w:b/>
          <w:bCs/>
        </w:rPr>
        <w:t xml:space="preserve">$30 million</w:t>
      </w:r>
      <w:r>
        <w:t xml:space="preserve"> </w:t>
      </w:r>
      <w:r>
        <w:t xml:space="preserve">of incremental 2026 oil-related cost pressure, largely affecting Consumer Products through freight, resin, and packaging.</w:t>
      </w:r>
    </w:p>
    <w:p>
      <w:pPr>
        <w:pStyle w:val="Compact"/>
        <w:numPr>
          <w:ilvl w:val="0"/>
          <w:numId w:val="1004"/>
        </w:numPr>
      </w:pPr>
      <w:r>
        <w:t xml:space="preserve">About</w:t>
      </w:r>
      <w:r>
        <w:t xml:space="preserve"> </w:t>
      </w:r>
      <w:r>
        <w:rPr>
          <w:b/>
          <w:bCs/>
        </w:rPr>
        <w:t xml:space="preserve">$15 million</w:t>
      </w:r>
      <w:r>
        <w:t xml:space="preserve"> </w:t>
      </w:r>
      <w:r>
        <w:t xml:space="preserve">of tariff-related favorability versus initial planning assumptions.</w:t>
      </w:r>
    </w:p>
    <w:p>
      <w:pPr>
        <w:pStyle w:val="Compact"/>
        <w:numPr>
          <w:ilvl w:val="0"/>
          <w:numId w:val="1004"/>
        </w:numPr>
      </w:pPr>
      <w:r>
        <w:t xml:space="preserve">Approximately</w:t>
      </w:r>
      <w:r>
        <w:t xml:space="preserve"> </w:t>
      </w:r>
      <w:r>
        <w:rPr>
          <w:b/>
          <w:bCs/>
        </w:rPr>
        <w:t xml:space="preserve">$20 million</w:t>
      </w:r>
      <w:r>
        <w:t xml:space="preserve"> </w:t>
      </w:r>
      <w:r>
        <w:t xml:space="preserve">of cybersecurity remediation expense, which management said would be excluded from adjusted EBITDA.</w:t>
      </w:r>
    </w:p>
    <w:p>
      <w:pPr>
        <w:pStyle w:val="Compact"/>
        <w:numPr>
          <w:ilvl w:val="0"/>
          <w:numId w:val="1004"/>
        </w:numPr>
      </w:pPr>
      <w:r>
        <w:t xml:space="preserve">Greater royalty expense and investment behind future digital-game releases.</w:t>
      </w:r>
    </w:p>
    <w:p>
      <w:pPr>
        <w:pStyle w:val="FirstParagraph"/>
      </w:pPr>
      <w:r>
        <w:t xml:space="preserve">The clearest positive outcome would be a revenue beat combined with maintained or improved full-year margin and EBITDA guidance. Conversely, even a top-line beat could be poorly received if oil, freight, royalties, or cyber costs lead management to de-risk the margin outlook.</w:t>
      </w:r>
    </w:p>
    <w:bookmarkEnd w:id="13"/>
    <w:bookmarkEnd w:id="14"/>
    <w:bookmarkStart w:id="15" w:name="X7390bd38c3cc0cbb0d5e2c77547285be0229732"/>
    <w:p>
      <w:pPr>
        <w:pStyle w:val="Heading2"/>
      </w:pPr>
      <w:r>
        <w:t xml:space="preserve">Why GAAP earnings may be less useful than adjusted profit</w:t>
      </w:r>
    </w:p>
    <w:p>
      <w:pPr>
        <w:pStyle w:val="FirstParagraph"/>
      </w:pPr>
      <w:r>
        <w:t xml:space="preserve">Hasbro recorded a</w:t>
      </w:r>
      <w:r>
        <w:t xml:space="preserve"> </w:t>
      </w:r>
      <w:r>
        <w:rPr>
          <w:b/>
          <w:bCs/>
        </w:rPr>
        <w:t xml:space="preserve">$1.0 billion non-cash Consumer Products goodwill impairment in 2Q25</w:t>
      </w:r>
      <w:r>
        <w:t xml:space="preserve">, which produced a GAAP operating loss of $798 million and a GAAP EPS loss of $6.10. That makes year-over-year GAAP comparisons distorted.</w:t>
      </w:r>
    </w:p>
    <w:p>
      <w:pPr>
        <w:pStyle w:val="BodyText"/>
      </w:pPr>
      <w:r>
        <w:t xml:space="preserve">Investors should prioritize:</w:t>
      </w:r>
    </w:p>
    <w:p>
      <w:pPr>
        <w:pStyle w:val="Compact"/>
        <w:numPr>
          <w:ilvl w:val="0"/>
          <w:numId w:val="1005"/>
        </w:numPr>
      </w:pPr>
      <w:r>
        <w:rPr>
          <w:b/>
          <w:bCs/>
        </w:rPr>
        <w:t xml:space="preserve">Adjusted operating profit and adjusted operating margin</w:t>
      </w:r>
    </w:p>
    <w:p>
      <w:pPr>
        <w:pStyle w:val="Compact"/>
        <w:numPr>
          <w:ilvl w:val="0"/>
          <w:numId w:val="1005"/>
        </w:numPr>
      </w:pPr>
      <w:r>
        <w:rPr>
          <w:b/>
          <w:bCs/>
        </w:rPr>
        <w:t xml:space="preserve">Adjusted EPS</w:t>
      </w:r>
    </w:p>
    <w:p>
      <w:pPr>
        <w:pStyle w:val="Compact"/>
        <w:numPr>
          <w:ilvl w:val="0"/>
          <w:numId w:val="1005"/>
        </w:numPr>
      </w:pPr>
      <w:r>
        <w:rPr>
          <w:b/>
          <w:bCs/>
        </w:rPr>
        <w:t xml:space="preserve">Wizards segment operating margin</w:t>
      </w:r>
    </w:p>
    <w:p>
      <w:pPr>
        <w:pStyle w:val="Compact"/>
        <w:numPr>
          <w:ilvl w:val="0"/>
          <w:numId w:val="1005"/>
        </w:numPr>
      </w:pPr>
      <w:r>
        <w:rPr>
          <w:b/>
          <w:bCs/>
        </w:rPr>
        <w:t xml:space="preserve">Consumer Products adjusted operating profit</w:t>
      </w:r>
    </w:p>
    <w:p>
      <w:pPr>
        <w:pStyle w:val="Compact"/>
        <w:numPr>
          <w:ilvl w:val="0"/>
          <w:numId w:val="1005"/>
        </w:numPr>
      </w:pPr>
      <w:r>
        <w:rPr>
          <w:b/>
          <w:bCs/>
        </w:rPr>
        <w:t xml:space="preserve">Operating cash flow and working-capital commentary</w:t>
      </w:r>
    </w:p>
    <w:p>
      <w:pPr>
        <w:pStyle w:val="FirstParagraph"/>
      </w:pPr>
      <w:r>
        <w:t xml:space="preserve">Cash flow could be unusually noisy: management has already warned that delayed invoicing would shift some receivables and cash collection from 2Q into 3Q.</w:t>
      </w:r>
    </w:p>
    <w:bookmarkEnd w:id="15"/>
    <w:bookmarkStart w:id="16" w:name="balance-sheet-and-capital-allocation"/>
    <w:p>
      <w:pPr>
        <w:pStyle w:val="Heading2"/>
      </w:pPr>
      <w:r>
        <w:t xml:space="preserve">Balance sheet and capital allocation</w:t>
      </w:r>
    </w:p>
    <w:p>
      <w:pPr>
        <w:pStyle w:val="FirstParagraph"/>
      </w:pPr>
      <w:r>
        <w:t xml:space="preserve">At the end of 1Q, Hasbro held about</w:t>
      </w:r>
      <w:r>
        <w:t xml:space="preserve"> </w:t>
      </w:r>
      <m:oMath>
        <m:r>
          <m:t>857</m:t>
        </m:r>
        <m:r>
          <m:t>m</m:t>
        </m:r>
        <m:r>
          <m:t>i</m:t>
        </m:r>
        <m:r>
          <m:t>l</m:t>
        </m:r>
        <m:r>
          <m:t>l</m:t>
        </m:r>
        <m:r>
          <m:t>i</m:t>
        </m:r>
        <m:r>
          <m:t>o</m:t>
        </m:r>
        <m:r>
          <m:t>n</m:t>
        </m:r>
        <m:r>
          <m:t>o</m:t>
        </m:r>
        <m:r>
          <m:t>f</m:t>
        </m:r>
        <m:r>
          <m:t>c</m:t>
        </m:r>
        <m:r>
          <m:t>a</m:t>
        </m:r>
        <m:r>
          <m:t>s</m:t>
        </m:r>
        <m:r>
          <m:t>h</m:t>
        </m:r>
        <m:r>
          <m:rPr>
            <m:sty m:val="p"/>
          </m:rPr>
          <m:t>*</m:t>
        </m:r>
        <m:r>
          <m:rPr>
            <m:sty m:val="p"/>
          </m:rPr>
          <m:t>*</m:t>
        </m:r>
        <m:r>
          <m:t>a</m:t>
        </m:r>
        <m:r>
          <m:t>n</m:t>
        </m:r>
        <m:r>
          <m:t>d</m:t>
        </m:r>
        <m:r>
          <m:rPr>
            <m:sty m:val="p"/>
          </m:rPr>
          <m:t>*</m:t>
        </m:r>
        <m:r>
          <m:rPr>
            <m:sty m:val="p"/>
          </m:rPr>
          <m:t>*</m:t>
        </m:r>
      </m:oMath>
      <w:r>
        <w:rPr>
          <w:b/>
          <w:bCs/>
        </w:rPr>
        <w:t xml:space="preserve">498 million of short-term investments</w:t>
      </w:r>
      <w:r>
        <w:t xml:space="preserve">, against roughly</w:t>
      </w:r>
      <w:r>
        <w:t xml:space="preserve"> </w:t>
      </w:r>
      <w:r>
        <w:rPr>
          <w:b/>
          <w:bCs/>
        </w:rPr>
        <w:t xml:space="preserve">$3.6 billion of total debt</w:t>
      </w:r>
      <w:r>
        <w:t xml:space="preserve">. It issued $400 million of notes during 1Q to address its November 2026 maturity and repurchase higher-rate longer-dated debt.</w:t>
      </w:r>
    </w:p>
    <w:p>
      <w:pPr>
        <w:pStyle w:val="BodyText"/>
      </w:pPr>
      <w:r>
        <w:t xml:space="preserve">The balance-sheet story is improving, but investors should watch for:</w:t>
      </w:r>
    </w:p>
    <w:p>
      <w:pPr>
        <w:pStyle w:val="Compact"/>
        <w:numPr>
          <w:ilvl w:val="0"/>
          <w:numId w:val="1006"/>
        </w:numPr>
      </w:pPr>
      <w:r>
        <w:t xml:space="preserve">Progress on debt reduction;</w:t>
      </w:r>
    </w:p>
    <w:p>
      <w:pPr>
        <w:pStyle w:val="Compact"/>
        <w:numPr>
          <w:ilvl w:val="0"/>
          <w:numId w:val="1006"/>
        </w:numPr>
      </w:pPr>
      <w:r>
        <w:t xml:space="preserve">Any commentary on refinancing or interest expense;</w:t>
      </w:r>
    </w:p>
    <w:p>
      <w:pPr>
        <w:pStyle w:val="Compact"/>
        <w:numPr>
          <w:ilvl w:val="0"/>
          <w:numId w:val="1006"/>
        </w:numPr>
      </w:pPr>
      <w:r>
        <w:t xml:space="preserve">Dividend sustainability and incremental share repurchases;</w:t>
      </w:r>
    </w:p>
    <w:p>
      <w:pPr>
        <w:pStyle w:val="Compact"/>
        <w:numPr>
          <w:ilvl w:val="0"/>
          <w:numId w:val="1006"/>
        </w:numPr>
      </w:pPr>
      <w:r>
        <w:t xml:space="preserve">Whether working-capital timing affects full-year cash-conversion expectations.</w:t>
      </w:r>
    </w:p>
    <w:bookmarkEnd w:id="16"/>
    <w:bookmarkStart w:id="17" w:name="what-would-constitute-a-bullish-report"/>
    <w:p>
      <w:pPr>
        <w:pStyle w:val="Heading2"/>
      </w:pPr>
      <w:r>
        <w:t xml:space="preserve">What would constitute a bullish report</w:t>
      </w:r>
    </w:p>
    <w:p>
      <w:pPr>
        <w:pStyle w:val="Compact"/>
        <w:numPr>
          <w:ilvl w:val="0"/>
          <w:numId w:val="1007"/>
        </w:numPr>
      </w:pPr>
      <w:r>
        <w:t xml:space="preserve">Revenue above the roughly</w:t>
      </w:r>
      <w:r>
        <w:t xml:space="preserve"> </w:t>
      </w:r>
      <w:r>
        <w:rPr>
          <w:b/>
          <w:bCs/>
        </w:rPr>
        <w:t xml:space="preserve">$1.06 billion</w:t>
      </w:r>
      <w:r>
        <w:t xml:space="preserve"> </w:t>
      </w:r>
      <w:r>
        <w:t xml:space="preserve">expectation, led by a clear Wizards beat.</w:t>
      </w:r>
    </w:p>
    <w:p>
      <w:pPr>
        <w:pStyle w:val="Compact"/>
        <w:numPr>
          <w:ilvl w:val="0"/>
          <w:numId w:val="1007"/>
        </w:numPr>
      </w:pPr>
      <w:r>
        <w:rPr>
          <w:i/>
          <w:iCs/>
        </w:rPr>
        <w:t xml:space="preserve">MAGIC</w:t>
      </w:r>
      <w:r>
        <w:t xml:space="preserve"> </w:t>
      </w:r>
      <w:r>
        <w:t xml:space="preserve">demand remaining broad-based across proprietary releases, Universes Beyond, backlist, and organized play.</w:t>
      </w:r>
    </w:p>
    <w:p>
      <w:pPr>
        <w:pStyle w:val="Compact"/>
        <w:numPr>
          <w:ilvl w:val="0"/>
          <w:numId w:val="1007"/>
        </w:numPr>
      </w:pPr>
      <w:r>
        <w:t xml:space="preserve">Consumer Products revenue weakness described as timing-related, with a firm expectation that most delayed sales move into 3Q.</w:t>
      </w:r>
    </w:p>
    <w:p>
      <w:pPr>
        <w:pStyle w:val="Compact"/>
        <w:numPr>
          <w:ilvl w:val="0"/>
          <w:numId w:val="1007"/>
        </w:numPr>
      </w:pPr>
      <w:r>
        <w:t xml:space="preserve">Consumer Products margins holding up despite oil-related input costs.</w:t>
      </w:r>
    </w:p>
    <w:p>
      <w:pPr>
        <w:pStyle w:val="Compact"/>
        <w:numPr>
          <w:ilvl w:val="0"/>
          <w:numId w:val="1007"/>
        </w:numPr>
      </w:pPr>
      <w:r>
        <w:t xml:space="preserve">2026 revenue, adjusted-margin, and EBITDA guidance maintained or raised.</w:t>
      </w:r>
    </w:p>
    <w:p>
      <w:pPr>
        <w:pStyle w:val="Compact"/>
        <w:numPr>
          <w:ilvl w:val="0"/>
          <w:numId w:val="1007"/>
        </w:numPr>
      </w:pPr>
      <w:r>
        <w:t xml:space="preserve">No escalation in cybersecurity costs, customer disruption, or insurance-recovery uncertainty.</w:t>
      </w:r>
    </w:p>
    <w:bookmarkEnd w:id="17"/>
    <w:bookmarkStart w:id="18" w:name="what-could-disappoint"/>
    <w:p>
      <w:pPr>
        <w:pStyle w:val="Heading2"/>
      </w:pPr>
      <w:r>
        <w:t xml:space="preserve">What could disappoint</w:t>
      </w:r>
    </w:p>
    <w:p>
      <w:pPr>
        <w:pStyle w:val="Compact"/>
        <w:numPr>
          <w:ilvl w:val="0"/>
          <w:numId w:val="1008"/>
        </w:numPr>
      </w:pPr>
      <w:r>
        <w:t xml:space="preserve">Wizards growth below expectations or evidence of a sharper-than-anticipated deceleration after the release cycle.</w:t>
      </w:r>
    </w:p>
    <w:p>
      <w:pPr>
        <w:pStyle w:val="Compact"/>
        <w:numPr>
          <w:ilvl w:val="0"/>
          <w:numId w:val="1008"/>
        </w:numPr>
      </w:pPr>
      <w:r>
        <w:t xml:space="preserve">Worse-than-expected Wizards margins due to royalties, product mix, or digital investment.</w:t>
      </w:r>
    </w:p>
    <w:p>
      <w:pPr>
        <w:pStyle w:val="Compact"/>
        <w:numPr>
          <w:ilvl w:val="0"/>
          <w:numId w:val="1008"/>
        </w:numPr>
      </w:pPr>
      <w:r>
        <w:t xml:space="preserve">Consumer Products delays extending beyond 3Q, or signs that retailer demand—not systems timing—is the actual problem.</w:t>
      </w:r>
    </w:p>
    <w:p>
      <w:pPr>
        <w:pStyle w:val="Compact"/>
        <w:numPr>
          <w:ilvl w:val="0"/>
          <w:numId w:val="1008"/>
        </w:numPr>
      </w:pPr>
      <w:r>
        <w:t xml:space="preserve">A reduction to full-year margin or EBITDA guidance due to freight, resin, packaging, or promotional pressure.</w:t>
      </w:r>
    </w:p>
    <w:p>
      <w:pPr>
        <w:pStyle w:val="Compact"/>
        <w:numPr>
          <w:ilvl w:val="0"/>
          <w:numId w:val="1008"/>
        </w:numPr>
      </w:pPr>
      <w:r>
        <w:t xml:space="preserve">Lower cash flow without a convincing explanation of receivables timing.</w:t>
      </w:r>
    </w:p>
    <w:p>
      <w:pPr>
        <w:pStyle w:val="Compact"/>
        <w:numPr>
          <w:ilvl w:val="0"/>
          <w:numId w:val="1008"/>
        </w:numPr>
      </w:pPr>
      <w:r>
        <w:t xml:space="preserve">More material cost, legal, or operational consequences from the cybersecurity incident.</w:t>
      </w:r>
    </w:p>
    <w:bookmarkEnd w:id="18"/>
    <w:bookmarkStart w:id="19" w:name="bottom-line"/>
    <w:p>
      <w:pPr>
        <w:pStyle w:val="Heading2"/>
      </w:pPr>
      <w:r>
        <w:t xml:space="preserve">Bottom line</w:t>
      </w:r>
    </w:p>
    <w:p>
      <w:pPr>
        <w:pStyle w:val="FirstParagraph"/>
      </w:pPr>
      <w:r>
        <w:rPr>
          <w:b/>
          <w:bCs/>
        </w:rPr>
        <w:t xml:space="preserve">The setup is constructive but demanding.</w:t>
      </w:r>
      <w:r>
        <w:t xml:space="preserve"> </w:t>
      </w:r>
      <w:r>
        <w:t xml:space="preserve">Hasbro’s 2Q revenue comparison should benefit from continued</w:t>
      </w:r>
      <w:r>
        <w:t xml:space="preserve"> </w:t>
      </w:r>
      <w:r>
        <w:rPr>
          <w:i/>
          <w:iCs/>
        </w:rPr>
        <w:t xml:space="preserve">MAGIC</w:t>
      </w:r>
      <w:r>
        <w:t xml:space="preserve"> </w:t>
      </w:r>
      <w:r>
        <w:t xml:space="preserve">strength and an easy Consumer Products comparison, yet investors already expect Wizards to do the heavy lifting. The report’s real determinant will be management’s confidence in the</w:t>
      </w:r>
      <w:r>
        <w:t xml:space="preserve"> </w:t>
      </w:r>
      <w:r>
        <w:rPr>
          <w:b/>
          <w:bCs/>
        </w:rPr>
        <w:t xml:space="preserve">2H Consumer Products catch-up, margin resilience, and full-year guidance</w:t>
      </w:r>
      <w:r>
        <w:t xml:space="preserve">.</w:t>
      </w:r>
    </w:p>
    <w:p>
      <w:pPr>
        <w:pStyle w:val="BodyText"/>
      </w:pPr>
      <w:r>
        <w:t xml:space="preserve">In short:</w:t>
      </w:r>
      <w:r>
        <w:t xml:space="preserve"> </w:t>
      </w:r>
      <w:r>
        <w:rPr>
          <w:b/>
          <w:bCs/>
        </w:rPr>
        <w:t xml:space="preserve">Wizards can drive the upside, but Consumer Products recovery timing and 2026 profit guidance will likely determine the market’s reaction.</w:t>
      </w:r>
      <w:r>
        <w:t xml:space="preserve"> </w:t>
      </w:r>
      <w:r>
        <w:t xml:space="preserve">HAS closed at</w:t>
      </w:r>
      <w:r>
        <w:t xml:space="preserve"> </w:t>
      </w:r>
      <w:r>
        <w:rPr>
          <w:b/>
          <w:bCs/>
        </w:rPr>
        <w:t xml:space="preserve">$81.61 on July 20</w:t>
      </w:r>
      <w:r>
        <w:t xml:space="preserve">, down about</w:t>
      </w:r>
      <w:r>
        <w:t xml:space="preserve"> </w:t>
      </w:r>
      <w:r>
        <w:rPr>
          <w:b/>
          <w:bCs/>
        </w:rPr>
        <w:t xml:space="preserve">3.3% from June 22</w:t>
      </w:r>
      <w:r>
        <w:t xml:space="preserve">, suggesting some caution heading into the event but not a deeply discounted expectation reset.</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2026-07-21T00:28:02Z</dcterms:created>
  <dcterms:modified xsi:type="dcterms:W3CDTF">2026-07-21T00:28:02Z</dcterms:modified>
</cp:coreProperties>
</file>

<file path=docProps/custom.xml><?xml version="1.0" encoding="utf-8"?>
<Properties xmlns="http://schemas.openxmlformats.org/officeDocument/2006/custom-properties" xmlns:vt="http://schemas.openxmlformats.org/officeDocument/2006/docPropsVTypes"/>
</file>