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Hasbro, Inc. (HAS)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Hasbro, Inc.</w:t>
            </w:r>
          </w:p>
        </w:tc>
        <w:tc>
          <w:tcPr>
            <w:tcW w:type="dxa" w:w="2160"/>
          </w:tcPr>
          <w:p>
            <w:r>
              <w:rPr>
                <w:rFonts w:ascii="Calibri" w:hAnsi="Calibri"/>
                <w:b/>
                <w:sz w:val="22"/>
              </w:rPr>
              <w:t>Earnings Date</w:t>
            </w:r>
          </w:p>
        </w:tc>
        <w:tc>
          <w:tcPr>
            <w:tcW w:type="dxa" w:w="2160"/>
          </w:tcPr>
          <w:p>
            <w:r>
              <w:rPr>
                <w:rFonts w:ascii="Calibri" w:hAnsi="Calibri"/>
                <w:sz w:val="22"/>
              </w:rPr>
              <w:t>July 21, 2026 (Pre-Market)</w:t>
            </w:r>
          </w:p>
        </w:tc>
      </w:tr>
      <w:tr>
        <w:tc>
          <w:tcPr>
            <w:tcW w:type="dxa" w:w="2160"/>
          </w:tcPr>
          <w:p>
            <w:r>
              <w:rPr>
                <w:rFonts w:ascii="Calibri" w:hAnsi="Calibri"/>
                <w:b/>
                <w:sz w:val="22"/>
              </w:rPr>
              <w:t>Ticker</w:t>
            </w:r>
          </w:p>
        </w:tc>
        <w:tc>
          <w:tcPr>
            <w:tcW w:type="dxa" w:w="2160"/>
          </w:tcPr>
          <w:p>
            <w:r>
              <w:rPr>
                <w:rFonts w:ascii="Calibri" w:hAnsi="Calibri"/>
                <w:sz w:val="22"/>
              </w:rPr>
              <w:t>HAS (NASDAQ)</w:t>
            </w:r>
          </w:p>
        </w:tc>
        <w:tc>
          <w:tcPr>
            <w:tcW w:type="dxa" w:w="2160"/>
          </w:tcPr>
          <w:p>
            <w:r>
              <w:rPr>
                <w:rFonts w:ascii="Calibri" w:hAnsi="Calibri"/>
                <w:b/>
                <w:sz w:val="22"/>
              </w:rPr>
              <w:t>Report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Prepared</w:t>
            </w:r>
          </w:p>
        </w:tc>
        <w:tc>
          <w:tcPr>
            <w:tcW w:type="dxa" w:w="2160"/>
          </w:tcPr>
          <w:p>
            <w:r>
              <w:rPr>
                <w:rFonts w:ascii="Calibri" w:hAnsi="Calibri"/>
                <w:sz w:val="22"/>
              </w:rPr>
              <w:t>July 20, 2026</w:t>
            </w:r>
          </w:p>
        </w:tc>
        <w:tc>
          <w:tcPr>
            <w:tcW w:type="dxa" w:w="2160"/>
          </w:tcPr>
          <w:p>
            <w:r>
              <w:rPr>
                <w:rFonts w:ascii="Calibri" w:hAnsi="Calibri"/>
                <w:b/>
                <w:sz w:val="22"/>
              </w:rPr>
              <w:t>Last Earnings</w:t>
            </w:r>
          </w:p>
        </w:tc>
        <w:tc>
          <w:tcPr>
            <w:tcW w:type="dxa" w:w="2160"/>
          </w:tcPr>
          <w:p>
            <w:r>
              <w:rPr>
                <w:rFonts w:ascii="Calibri" w:hAnsi="Calibri"/>
                <w:sz w:val="22"/>
              </w:rPr>
              <w:t>May 20,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but not without risk — management guided Q2 Wizards revenue to be "quite robust" behind the Secrets of Strixhaven and Marvel Super Heroes launches, and consensus has moved up accordingly, but the cybersecurity incident-driven $40–60M Consumer Products revenue shift from Q2 into Q3 creates a known headwind that keeps the bar from being too high. The single biggest swing factor is whether </w:t>
      </w:r>
      <w:r>
        <w:rPr>
          <w:rFonts w:ascii="Calibri" w:hAnsi="Calibri"/>
          <w:b/>
          <w:color w:val="525866"/>
          <w:sz w:val="22"/>
        </w:rPr>
        <w:t>MAGIC: The Gathering revenue</w:t>
      </w:r>
      <w:r>
        <w:rPr>
          <w:rFonts w:ascii="Calibri" w:hAnsi="Calibri"/>
          <w:color w:val="525866"/>
          <w:sz w:val="22"/>
        </w:rPr>
        <w:t xml:space="preserve"> can clear the elevated consensus of ~$479M, which would represent ~16% YoY growth against an already-strong Q2 2025 comp.</w:t>
      </w:r>
    </w:p>
    <w:p>
      <w:r>
        <w:rPr>
          <w:rFonts w:ascii="Calibri" w:hAnsi="Calibri"/>
          <w:b/>
          <w:color w:val="525866"/>
          <w:sz w:val="22"/>
        </w:rPr>
        <w:t xml:space="preserve">Bar: </w:t>
      </w:r>
      <w:r>
        <w:rPr>
          <w:rFonts w:ascii="Calibri" w:hAnsi="Calibri"/>
          <w:color w:val="525866"/>
          <w:sz w:val="22"/>
        </w:rPr>
        <w:t xml:space="preserve">Consensus heading into Q2 2026 is a moderately high bar for Wizards but a manageable one for the total company. Net revenue consensus sits at ~$1.069B (+9% YoY), with Wizards segment revenue expected at ~$605M (+16% YoY) and MAGIC specifically at ~$479M (+16% YoY). Management explicitly called Q2 "quite robust" on the Q1 call, citing both Secrets of Strixhaven (which surpassed Lorwyn Eclipsed as the largest MAGIC Premier set ever) and the Marvel Super Heroes Universes Beyond launch — so the street has had clear forward visibility. Consumer Products consensus of ~$447M implies low-single-digit growth, consistent with management's revised guidance after the cyber incident shifted $40–60M of CP revenue to Q3. </w:t>
      </w:r>
    </w:p>
    <w:p>
      <w:r>
        <w:rPr>
          <w:rFonts w:ascii="Calibri" w:hAnsi="Calibri"/>
          <w:b/>
          <w:color w:val="525866"/>
          <w:sz w:val="22"/>
        </w:rPr>
        <w:t xml:space="preserve">Guidance/Tone: </w:t>
      </w:r>
      <w:r>
        <w:rPr>
          <w:rFonts w:ascii="Calibri" w:hAnsi="Calibri"/>
          <w:color w:val="525866"/>
          <w:sz w:val="22"/>
        </w:rPr>
        <w:t>Management's posture on Q1's call was notably confident on Wizards/MAGIC while incrementally cautious on the back half — they flagged Q4 as the quarter where Wizards could see a YoY decline due to tough comps, and introduced oil-related input cost headwinds (freight, resin, packaging) as a back-half offset to tariff favorability. Full-year 2026 guidance was maintained at revenue +3–5% constant currency, adjusted operating margin 24–25%, and adjusted EBITDA $1.40–1.45B. Tone has not shifted since Q1 earnings; no pre-announcement or guidance revision has been issued.</w:t>
      </w:r>
    </w:p>
    <w:p>
      <w:r>
        <w:rPr>
          <w:rFonts w:ascii="Calibri" w:hAnsi="Calibri"/>
          <w:b/>
          <w:color w:val="525866"/>
          <w:sz w:val="22"/>
        </w:rPr>
        <w:t xml:space="preserve">Estimate Trajectory: </w:t>
      </w:r>
      <w:r>
        <w:rPr>
          <w:rFonts w:ascii="Calibri" w:hAnsi="Calibri"/>
          <w:color w:val="525866"/>
          <w:sz w:val="22"/>
        </w:rPr>
        <w:t>Estimates were revised upward following the Q1 beat and management's bullish Q2 Wizards commentary. The Q2 2026 consensus for net revenue stands at ~$1.069B vs. the pre-Q1 baseline of ~$1.059B (as of May 27), and adjusted EPS consensus is ~$1.14 vs. ~$1.13 prior — modest upward drift that reflects the strong MAGIC pipeline but is tempered by the known CP revenue timing shift. The FY2026 consensus for adjusted EPS is ~$6.03 and EBITDA ~$1.46B, both roughly in line with the guidance midpoint, suggesting the street is not pricing in meaningful upside to full-year numbers.</w:t>
      </w:r>
    </w:p>
    <w:p>
      <w:r>
        <w:rPr>
          <w:rFonts w:ascii="Calibri" w:hAnsi="Calibri"/>
          <w:b/>
          <w:color w:val="525866"/>
          <w:sz w:val="22"/>
        </w:rPr>
        <w:t xml:space="preserve">Stock Setup: </w:t>
      </w:r>
      <w:r>
        <w:rPr>
          <w:rFonts w:ascii="Calibri" w:hAnsi="Calibri"/>
          <w:color w:val="525866"/>
          <w:sz w:val="22"/>
        </w:rPr>
        <w:t>HAS has underperformed meaningfully since Q1 earnings — the stock is down ~8% from the May 20 close of $88.60 to $81.59 as of July 20, while the S&amp;P 500 is roughly flat and XLY is down ~3%. This underperformance suggests the market has been pricing in some skepticism about the sustainability of MAGIC's growth trajectory and/or the back-half oil cost headwinds, which actually creates a more favorable risk/reward setup into the print. The stock is not priced for a beat.</w:t>
      </w:r>
    </w:p>
    <w:p>
      <w:r>
        <w:rPr>
          <w:rFonts w:ascii="Calibri" w:hAnsi="Calibri"/>
          <w:b/>
          <w:color w:val="525866"/>
          <w:sz w:val="22"/>
        </w:rPr>
        <w:t xml:space="preserve">Wildcard: </w:t>
      </w:r>
      <w:r>
        <w:rPr>
          <w:rFonts w:ascii="Calibri" w:hAnsi="Calibri"/>
          <w:color w:val="525866"/>
          <w:sz w:val="22"/>
        </w:rPr>
        <w:t>The magnitude of MAGIC backlist sales and the sell-through of the Marvel Super Heroes Universes Beyond set are the key unknowns. Management noted backlist set a quarterly record in Q1 and that 2026 is already the third-largest backlist year in MAGIC's history — if Marvel Super Heroes drives another record-setting backlist quarter in Q2, total MAGIC revenue could meaningfully exceed the ~$479M consensus. Conversely, any commentary suggesting the Marvel set underperformed internal expectations, or that Q4 Wizards is tracking worse than the "down low-single-digit" framing, would be a negative catalyst.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moderately high but well-telegraphed bar — management guided Q2 Wizards explicitly higher on the Q1 call, so the street has had clear visibility. </w:t>
      </w:r>
      <w:r>
        <w:rPr>
          <w:rFonts w:ascii="Calibri" w:hAnsi="Calibri"/>
          <w:b/>
          <w:color w:val="525866"/>
          <w:sz w:val="22"/>
        </w:rPr>
        <w:t>MAGIC revenue</w:t>
      </w:r>
      <w:r>
        <w:rPr>
          <w:rFonts w:ascii="Calibri" w:hAnsi="Calibri"/>
          <w:color w:val="525866"/>
          <w:sz w:val="22"/>
        </w:rPr>
        <w:t xml:space="preserve"> (~$479M consensus, +16% YoY) is the bigger swing factor; Consumer Products is a known soft quarter due to the cybersecurity-driven revenue timing shift.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Revenue ($M)</w:t>
            </w:r>
          </w:p>
        </w:tc>
        <w:tc>
          <w:tcPr>
            <w:tcW w:type="dxa" w:w="1234"/>
          </w:tcPr>
          <w:p>
            <w:r>
              <w:rPr>
                <w:rFonts w:ascii="Calibri" w:hAnsi="Calibri"/>
                <w:sz w:val="22"/>
              </w:rPr>
              <w:t>$1,000.2M</w:t>
            </w:r>
          </w:p>
        </w:tc>
        <w:tc>
          <w:tcPr>
            <w:tcW w:type="dxa" w:w="1234"/>
          </w:tcPr>
          <w:p>
            <w:r>
              <w:rPr>
                <w:rFonts w:ascii="Calibri" w:hAnsi="Calibri"/>
                <w:sz w:val="22"/>
              </w:rPr>
              <w:t>$980.8M</w:t>
            </w:r>
          </w:p>
        </w:tc>
        <w:tc>
          <w:tcPr>
            <w:tcW w:type="dxa" w:w="1234"/>
          </w:tcPr>
          <w:p>
            <w:r>
              <w:rPr>
                <w:rFonts w:ascii="Calibri" w:hAnsi="Calibri"/>
                <w:sz w:val="22"/>
              </w:rPr>
              <w:t>$1,069.3M</w:t>
            </w:r>
          </w:p>
        </w:tc>
        <w:tc>
          <w:tcPr>
            <w:tcW w:type="dxa" w:w="1234"/>
          </w:tcPr>
          <w:p>
            <w:r>
              <w:rPr>
                <w:rFonts w:ascii="Calibri" w:hAnsi="Calibri"/>
                <w:sz w:val="22"/>
              </w:rPr>
              <w:t>+9.0%</w:t>
            </w:r>
          </w:p>
        </w:tc>
        <w:tc>
          <w:tcPr>
            <w:tcW w:type="dxa" w:w="1234"/>
          </w:tcPr>
          <w:p>
            <w:r>
              <w:rPr>
                <w:rFonts w:ascii="Calibri" w:hAnsi="Calibri"/>
                <w:sz w:val="22"/>
              </w:rPr>
              <w:t>FY +3–5% CC; Q2 Wizards “quite robust”; CP low-single-digit growth</w:t>
            </w:r>
          </w:p>
        </w:tc>
        <w:tc>
          <w:tcPr>
            <w:tcW w:type="dxa" w:w="1234"/>
          </w:tcPr>
          <w:p>
            <w:r>
              <w:rPr>
                <w:rFonts w:ascii="Calibri" w:hAnsi="Calibri"/>
                <w:sz w:val="22"/>
              </w:rPr>
              <w:t>~+2% vs. FY midpoint implied</w:t>
            </w:r>
          </w:p>
        </w:tc>
      </w:tr>
      <w:tr>
        <w:tc>
          <w:tcPr>
            <w:tcW w:type="dxa" w:w="1234"/>
          </w:tcPr>
          <w:p>
            <w:r>
              <w:rPr>
                <w:rFonts w:ascii="Calibri" w:hAnsi="Calibri"/>
                <w:sz w:val="22"/>
              </w:rPr>
              <w:t>Adj. EPS - Diluted ($)</w:t>
            </w:r>
          </w:p>
        </w:tc>
        <w:tc>
          <w:tcPr>
            <w:tcW w:type="dxa" w:w="1234"/>
          </w:tcPr>
          <w:p>
            <w:r>
              <w:rPr>
                <w:rFonts w:ascii="Calibri" w:hAnsi="Calibri"/>
                <w:sz w:val="22"/>
              </w:rPr>
              <w:t>$1.47</w:t>
            </w:r>
          </w:p>
        </w:tc>
        <w:tc>
          <w:tcPr>
            <w:tcW w:type="dxa" w:w="1234"/>
          </w:tcPr>
          <w:p>
            <w:r>
              <w:rPr>
                <w:rFonts w:ascii="Calibri" w:hAnsi="Calibri"/>
                <w:sz w:val="22"/>
              </w:rPr>
              <w:t>$1.30</w:t>
            </w:r>
          </w:p>
        </w:tc>
        <w:tc>
          <w:tcPr>
            <w:tcW w:type="dxa" w:w="1234"/>
          </w:tcPr>
          <w:p>
            <w:r>
              <w:rPr>
                <w:rFonts w:ascii="Calibri" w:hAnsi="Calibri"/>
                <w:sz w:val="22"/>
              </w:rPr>
              <w:t>$1.14</w:t>
            </w:r>
          </w:p>
        </w:tc>
        <w:tc>
          <w:tcPr>
            <w:tcW w:type="dxa" w:w="1234"/>
          </w:tcPr>
          <w:p>
            <w:r>
              <w:rPr>
                <w:rFonts w:ascii="Calibri" w:hAnsi="Calibri"/>
                <w:sz w:val="22"/>
              </w:rPr>
              <w:t>-12.3%</w:t>
            </w:r>
          </w:p>
        </w:tc>
        <w:tc>
          <w:tcPr>
            <w:tcW w:type="dxa" w:w="1234"/>
          </w:tcPr>
          <w:p>
            <w:r>
              <w:rPr>
                <w:rFonts w:ascii="Calibri" w:hAnsi="Calibri"/>
                <w:sz w:val="22"/>
              </w:rPr>
              <w:t>FY adj. EPS ~$5.99–6.03 (implied from EBITDA guide)</w:t>
            </w:r>
          </w:p>
        </w:tc>
        <w:tc>
          <w:tcPr>
            <w:tcW w:type="dxa" w:w="1234"/>
          </w:tcPr>
          <w:p>
            <w:r>
              <w:rPr>
                <w:rFonts w:ascii="Calibri" w:hAnsi="Calibri"/>
                <w:sz w:val="22"/>
              </w:rPr>
              <w:t>In line</w:t>
            </w:r>
          </w:p>
        </w:tc>
      </w:tr>
      <w:tr>
        <w:tc>
          <w:tcPr>
            <w:tcW w:type="dxa" w:w="1234"/>
          </w:tcPr>
          <w:p>
            <w:r>
              <w:rPr>
                <w:rFonts w:ascii="Calibri" w:hAnsi="Calibri"/>
                <w:sz w:val="22"/>
              </w:rPr>
              <w:t>Adj. EBITDA ($M)</w:t>
            </w:r>
          </w:p>
        </w:tc>
        <w:tc>
          <w:tcPr>
            <w:tcW w:type="dxa" w:w="1234"/>
          </w:tcPr>
          <w:p>
            <w:r>
              <w:rPr>
                <w:rFonts w:ascii="Calibri" w:hAnsi="Calibri"/>
                <w:sz w:val="22"/>
              </w:rPr>
              <w:t>$339.4M</w:t>
            </w:r>
          </w:p>
        </w:tc>
        <w:tc>
          <w:tcPr>
            <w:tcW w:type="dxa" w:w="1234"/>
          </w:tcPr>
          <w:p>
            <w:r>
              <w:rPr>
                <w:rFonts w:ascii="Calibri" w:hAnsi="Calibri"/>
                <w:sz w:val="22"/>
              </w:rPr>
              <w:t>$302.0M</w:t>
            </w:r>
          </w:p>
        </w:tc>
        <w:tc>
          <w:tcPr>
            <w:tcW w:type="dxa" w:w="1234"/>
          </w:tcPr>
          <w:p>
            <w:r>
              <w:rPr>
                <w:rFonts w:ascii="Calibri" w:hAnsi="Calibri"/>
                <w:sz w:val="22"/>
              </w:rPr>
              <w:t>$294.5M</w:t>
            </w:r>
          </w:p>
        </w:tc>
        <w:tc>
          <w:tcPr>
            <w:tcW w:type="dxa" w:w="1234"/>
          </w:tcPr>
          <w:p>
            <w:r>
              <w:rPr>
                <w:rFonts w:ascii="Calibri" w:hAnsi="Calibri"/>
                <w:sz w:val="22"/>
              </w:rPr>
              <w:t>-2.5%</w:t>
            </w:r>
          </w:p>
        </w:tc>
        <w:tc>
          <w:tcPr>
            <w:tcW w:type="dxa" w:w="1234"/>
          </w:tcPr>
          <w:p>
            <w:r>
              <w:rPr>
                <w:rFonts w:ascii="Calibri" w:hAnsi="Calibri"/>
                <w:sz w:val="22"/>
              </w:rPr>
              <w:t>FY $1.40–1.45B</w:t>
            </w:r>
          </w:p>
        </w:tc>
        <w:tc>
          <w:tcPr>
            <w:tcW w:type="dxa" w:w="1234"/>
          </w:tcPr>
          <w:p>
            <w:r>
              <w:rPr>
                <w:rFonts w:ascii="Calibri" w:hAnsi="Calibri"/>
                <w:sz w:val="22"/>
              </w:rPr>
              <w:t>~-2% vs. FY midpoint implied</w:t>
            </w:r>
          </w:p>
        </w:tc>
      </w:tr>
      <w:tr>
        <w:tc>
          <w:tcPr>
            <w:tcW w:type="dxa" w:w="1234"/>
          </w:tcPr>
          <w:p>
            <w:r>
              <w:rPr>
                <w:rFonts w:ascii="Calibri" w:hAnsi="Calibri"/>
                <w:sz w:val="22"/>
              </w:rPr>
              <w:t>Wizards &amp; Digital Gaming Revenue ($M)</w:t>
            </w:r>
          </w:p>
        </w:tc>
        <w:tc>
          <w:tcPr>
            <w:tcW w:type="dxa" w:w="1234"/>
          </w:tcPr>
          <w:p>
            <w:r>
              <w:rPr>
                <w:rFonts w:ascii="Calibri" w:hAnsi="Calibri"/>
                <w:sz w:val="22"/>
              </w:rPr>
              <w:t>$582.0M</w:t>
            </w:r>
          </w:p>
        </w:tc>
        <w:tc>
          <w:tcPr>
            <w:tcW w:type="dxa" w:w="1234"/>
          </w:tcPr>
          <w:p>
            <w:r>
              <w:rPr>
                <w:rFonts w:ascii="Calibri" w:hAnsi="Calibri"/>
                <w:sz w:val="22"/>
              </w:rPr>
              <w:t>$522.4M</w:t>
            </w:r>
          </w:p>
        </w:tc>
        <w:tc>
          <w:tcPr>
            <w:tcW w:type="dxa" w:w="1234"/>
          </w:tcPr>
          <w:p>
            <w:r>
              <w:rPr>
                <w:rFonts w:ascii="Calibri" w:hAnsi="Calibri"/>
                <w:sz w:val="22"/>
              </w:rPr>
              <w:t>$604.8M</w:t>
            </w:r>
          </w:p>
        </w:tc>
        <w:tc>
          <w:tcPr>
            <w:tcW w:type="dxa" w:w="1234"/>
          </w:tcPr>
          <w:p>
            <w:r>
              <w:rPr>
                <w:rFonts w:ascii="Calibri" w:hAnsi="Calibri"/>
                <w:sz w:val="22"/>
              </w:rPr>
              <w:t>+15.8%</w:t>
            </w:r>
          </w:p>
        </w:tc>
        <w:tc>
          <w:tcPr>
            <w:tcW w:type="dxa" w:w="1234"/>
          </w:tcPr>
          <w:p>
            <w:r>
              <w:rPr>
                <w:rFonts w:ascii="Calibri" w:hAnsi="Calibri"/>
                <w:sz w:val="22"/>
              </w:rPr>
              <w:t>FY mid-single-digit growth; Q2 “quite robust”</w:t>
            </w:r>
          </w:p>
        </w:tc>
        <w:tc>
          <w:tcPr>
            <w:tcW w:type="dxa" w:w="1234"/>
          </w:tcPr>
          <w:p>
            <w:r>
              <w:rPr>
                <w:rFonts w:ascii="Calibri" w:hAnsi="Calibri"/>
                <w:sz w:val="22"/>
              </w:rPr>
              <w:t>In line with guidance</w:t>
            </w:r>
          </w:p>
        </w:tc>
      </w:tr>
      <w:tr>
        <w:tc>
          <w:tcPr>
            <w:tcW w:type="dxa" w:w="1234"/>
          </w:tcPr>
          <w:p>
            <w:r>
              <w:rPr>
                <w:rFonts w:ascii="Calibri" w:hAnsi="Calibri"/>
                <w:sz w:val="22"/>
              </w:rPr>
              <w:t>MAGIC: The Gathering Revenue ($M)</w:t>
            </w:r>
          </w:p>
        </w:tc>
        <w:tc>
          <w:tcPr>
            <w:tcW w:type="dxa" w:w="1234"/>
          </w:tcPr>
          <w:p>
            <w:r>
              <w:rPr>
                <w:rFonts w:ascii="Calibri" w:hAnsi="Calibri"/>
                <w:sz w:val="22"/>
              </w:rPr>
              <w:t>$469.6M</w:t>
            </w:r>
          </w:p>
        </w:tc>
        <w:tc>
          <w:tcPr>
            <w:tcW w:type="dxa" w:w="1234"/>
          </w:tcPr>
          <w:p>
            <w:r>
              <w:rPr>
                <w:rFonts w:ascii="Calibri" w:hAnsi="Calibri"/>
                <w:sz w:val="22"/>
              </w:rPr>
              <w:t>$412.0M</w:t>
            </w:r>
          </w:p>
        </w:tc>
        <w:tc>
          <w:tcPr>
            <w:tcW w:type="dxa" w:w="1234"/>
          </w:tcPr>
          <w:p>
            <w:r>
              <w:rPr>
                <w:rFonts w:ascii="Calibri" w:hAnsi="Calibri"/>
                <w:sz w:val="22"/>
              </w:rPr>
              <w:t>$478.9M</w:t>
            </w:r>
          </w:p>
        </w:tc>
        <w:tc>
          <w:tcPr>
            <w:tcW w:type="dxa" w:w="1234"/>
          </w:tcPr>
          <w:p>
            <w:r>
              <w:rPr>
                <w:rFonts w:ascii="Calibri" w:hAnsi="Calibri"/>
                <w:sz w:val="22"/>
              </w:rPr>
              <w:t>+16.2%</w:t>
            </w:r>
          </w:p>
        </w:tc>
        <w:tc>
          <w:tcPr>
            <w:tcW w:type="dxa" w:w="1234"/>
          </w:tcPr>
          <w:p>
            <w:r>
              <w:rPr>
                <w:rFonts w:ascii="Calibri" w:hAnsi="Calibri"/>
                <w:sz w:val="22"/>
              </w:rPr>
              <w:t>Strixhaven + Marvel Super Heroes launches; backlist strength</w:t>
            </w:r>
          </w:p>
        </w:tc>
        <w:tc>
          <w:tcPr>
            <w:tcW w:type="dxa" w:w="1234"/>
          </w:tcPr>
          <w:p>
            <w:r>
              <w:rPr>
                <w:rFonts w:ascii="Calibri" w:hAnsi="Calibri"/>
                <w:sz w:val="22"/>
              </w:rPr>
              <w:t>In line</w:t>
            </w:r>
          </w:p>
        </w:tc>
      </w:tr>
      <w:tr>
        <w:tc>
          <w:tcPr>
            <w:tcW w:type="dxa" w:w="1234"/>
          </w:tcPr>
          <w:p>
            <w:r>
              <w:rPr>
                <w:rFonts w:ascii="Calibri" w:hAnsi="Calibri"/>
                <w:sz w:val="22"/>
              </w:rPr>
              <w:t>Consumer Products Revenue ($M)</w:t>
            </w:r>
          </w:p>
        </w:tc>
        <w:tc>
          <w:tcPr>
            <w:tcW w:type="dxa" w:w="1234"/>
          </w:tcPr>
          <w:p>
            <w:r>
              <w:rPr>
                <w:rFonts w:ascii="Calibri" w:hAnsi="Calibri"/>
                <w:sz w:val="22"/>
              </w:rPr>
              <w:t>$397.9M</w:t>
            </w:r>
          </w:p>
        </w:tc>
        <w:tc>
          <w:tcPr>
            <w:tcW w:type="dxa" w:w="1234"/>
          </w:tcPr>
          <w:p>
            <w:r>
              <w:rPr>
                <w:rFonts w:ascii="Calibri" w:hAnsi="Calibri"/>
                <w:sz w:val="22"/>
              </w:rPr>
              <w:t>$442.4M</w:t>
            </w:r>
          </w:p>
        </w:tc>
        <w:tc>
          <w:tcPr>
            <w:tcW w:type="dxa" w:w="1234"/>
          </w:tcPr>
          <w:p>
            <w:r>
              <w:rPr>
                <w:rFonts w:ascii="Calibri" w:hAnsi="Calibri"/>
                <w:sz w:val="22"/>
              </w:rPr>
              <w:t>$446.5M</w:t>
            </w:r>
          </w:p>
        </w:tc>
        <w:tc>
          <w:tcPr>
            <w:tcW w:type="dxa" w:w="1234"/>
          </w:tcPr>
          <w:p>
            <w:r>
              <w:rPr>
                <w:rFonts w:ascii="Calibri" w:hAnsi="Calibri"/>
                <w:sz w:val="22"/>
              </w:rPr>
              <w:t>+0.9%</w:t>
            </w:r>
          </w:p>
        </w:tc>
        <w:tc>
          <w:tcPr>
            <w:tcW w:type="dxa" w:w="1234"/>
          </w:tcPr>
          <w:p>
            <w:r>
              <w:rPr>
                <w:rFonts w:ascii="Calibri" w:hAnsi="Calibri"/>
                <w:sz w:val="22"/>
              </w:rPr>
              <w:t>Low-single-digit growth (revised down from low-double-digit due to cyber incident)</w:t>
            </w:r>
          </w:p>
        </w:tc>
        <w:tc>
          <w:tcPr>
            <w:tcW w:type="dxa" w:w="1234"/>
          </w:tcPr>
          <w:p>
            <w:r>
              <w:rPr>
                <w:rFonts w:ascii="Calibri" w:hAnsi="Calibri"/>
                <w:sz w:val="22"/>
              </w:rPr>
              <w:t>In line</w:t>
            </w:r>
          </w:p>
        </w:tc>
      </w:tr>
      <w:tr>
        <w:tc>
          <w:tcPr>
            <w:tcW w:type="dxa" w:w="1234"/>
          </w:tcPr>
          <w:p>
            <w:r>
              <w:rPr>
                <w:rFonts w:ascii="Calibri" w:hAnsi="Calibri"/>
                <w:sz w:val="22"/>
              </w:rPr>
              <w:t>Wizards Operating Income ($M)</w:t>
            </w:r>
          </w:p>
        </w:tc>
        <w:tc>
          <w:tcPr>
            <w:tcW w:type="dxa" w:w="1234"/>
          </w:tcPr>
          <w:p>
            <w:r>
              <w:rPr>
                <w:rFonts w:ascii="Calibri" w:hAnsi="Calibri"/>
                <w:sz w:val="22"/>
              </w:rPr>
              <w:t>$297.7M</w:t>
            </w:r>
          </w:p>
        </w:tc>
        <w:tc>
          <w:tcPr>
            <w:tcW w:type="dxa" w:w="1234"/>
          </w:tcPr>
          <w:p>
            <w:r>
              <w:rPr>
                <w:rFonts w:ascii="Calibri" w:hAnsi="Calibri"/>
                <w:sz w:val="22"/>
              </w:rPr>
              <w:t>$241.8M</w:t>
            </w:r>
          </w:p>
        </w:tc>
        <w:tc>
          <w:tcPr>
            <w:tcW w:type="dxa" w:w="1234"/>
          </w:tcPr>
          <w:p>
            <w:r>
              <w:rPr>
                <w:rFonts w:ascii="Calibri" w:hAnsi="Calibri"/>
                <w:sz w:val="22"/>
              </w:rPr>
              <w:t>$262.0M</w:t>
            </w:r>
          </w:p>
        </w:tc>
        <w:tc>
          <w:tcPr>
            <w:tcW w:type="dxa" w:w="1234"/>
          </w:tcPr>
          <w:p>
            <w:r>
              <w:rPr>
                <w:rFonts w:ascii="Calibri" w:hAnsi="Calibri"/>
                <w:sz w:val="22"/>
              </w:rPr>
              <w:t>+8.4%</w:t>
            </w:r>
          </w:p>
        </w:tc>
        <w:tc>
          <w:tcPr>
            <w:tcW w:type="dxa" w:w="1234"/>
          </w:tcPr>
          <w:p>
            <w:r>
              <w:rPr>
                <w:rFonts w:ascii="Calibri" w:hAnsi="Calibri"/>
                <w:sz w:val="22"/>
              </w:rPr>
              <w:t>Margin moderation expected on higher Universes Beyond royalty mix</w:t>
            </w:r>
          </w:p>
        </w:tc>
        <w:tc>
          <w:tcPr>
            <w:tcW w:type="dxa" w:w="1234"/>
          </w:tcPr>
          <w:p>
            <w:r>
              <w:rPr>
                <w:rFonts w:ascii="Calibri" w:hAnsi="Calibri"/>
                <w:sz w:val="22"/>
              </w:rPr>
              <w:t>N/A — segment-level not guided</w:t>
            </w:r>
          </w:p>
        </w:tc>
      </w:tr>
      <w:tr>
        <w:tc>
          <w:tcPr>
            <w:tcW w:type="dxa" w:w="1234"/>
          </w:tcPr>
          <w:p>
            <w:r>
              <w:rPr>
                <w:rFonts w:ascii="Calibri" w:hAnsi="Calibri"/>
                <w:sz w:val="22"/>
              </w:rPr>
              <w:t>Consumer Products Operating Income ($M)</w:t>
            </w:r>
          </w:p>
        </w:tc>
        <w:tc>
          <w:tcPr>
            <w:tcW w:type="dxa" w:w="1234"/>
          </w:tcPr>
          <w:p>
            <w:r>
              <w:rPr>
                <w:rFonts w:ascii="Calibri" w:hAnsi="Calibri"/>
                <w:sz w:val="22"/>
              </w:rPr>
              <w:t>-$40.5M</w:t>
            </w:r>
          </w:p>
        </w:tc>
        <w:tc>
          <w:tcPr>
            <w:tcW w:type="dxa" w:w="1234"/>
          </w:tcPr>
          <w:p>
            <w:r>
              <w:rPr>
                <w:rFonts w:ascii="Calibri" w:hAnsi="Calibri"/>
                <w:sz w:val="22"/>
              </w:rPr>
              <w:t>$1.2M</w:t>
            </w:r>
          </w:p>
        </w:tc>
        <w:tc>
          <w:tcPr>
            <w:tcW w:type="dxa" w:w="1234"/>
          </w:tcPr>
          <w:p>
            <w:r>
              <w:rPr>
                <w:rFonts w:ascii="Calibri" w:hAnsi="Calibri"/>
                <w:sz w:val="22"/>
              </w:rPr>
              <w:t>-$13.8M</w:t>
            </w:r>
          </w:p>
        </w:tc>
        <w:tc>
          <w:tcPr>
            <w:tcW w:type="dxa" w:w="1234"/>
          </w:tcPr>
          <w:p>
            <w:r>
              <w:rPr>
                <w:rFonts w:ascii="Calibri" w:hAnsi="Calibri"/>
                <w:sz w:val="22"/>
              </w:rPr>
              <w:t>N/M</w:t>
            </w:r>
          </w:p>
        </w:tc>
        <w:tc>
          <w:tcPr>
            <w:tcW w:type="dxa" w:w="1234"/>
          </w:tcPr>
          <w:p>
            <w:r>
              <w:rPr>
                <w:rFonts w:ascii="Calibri" w:hAnsi="Calibri"/>
                <w:sz w:val="22"/>
              </w:rPr>
              <w:t>Seasonally weak Q2; full-year segment expected profitable</w:t>
            </w:r>
          </w:p>
        </w:tc>
        <w:tc>
          <w:tcPr>
            <w:tcW w:type="dxa" w:w="1234"/>
          </w:tcPr>
          <w:p>
            <w:r>
              <w:rPr>
                <w:rFonts w:ascii="Calibri" w:hAnsi="Calibri"/>
                <w:sz w:val="22"/>
              </w:rPr>
              <w:t>N/A — segment-level not guided</w:t>
            </w:r>
          </w:p>
        </w:tc>
      </w:tr>
    </w:tbl>
    <w:p>
      <w:r>
        <w:rPr>
          <w:rFonts w:ascii="Calibri" w:hAnsi="Calibri"/>
          <w:i/>
          <w:color w:val="525866"/>
          <w:sz w:val="22"/>
        </w:rPr>
        <w:t>Source: Visible Alpha Consensus and Actuals Data. Q2 2026 consensus as of May 27, 2026 (post-Q1 earnings). Q1 2026 actuals and Q2 2025 actuals from Visible Alpha. FY2026 consensus: Net Revenue $4,992M, Adj. EPS $6.03, Adj. EBITDA $1,462M (as of May 27, 2026). FY2027 consensus: Net Revenue $5,314M, Adj. EPS $6.36, Adj. EBITDA $1,543M.</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Net Revenue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$1,000.2</w:t>
            </w:r>
          </w:p>
        </w:tc>
        <w:tc>
          <w:tcPr>
            <w:tcW w:type="dxa" w:w="1728"/>
          </w:tcPr>
          <w:p>
            <w:r>
              <w:rPr>
                <w:rFonts w:ascii="Calibri" w:hAnsi="Calibri"/>
                <w:sz w:val="22"/>
              </w:rPr>
              <w:t>$963.9</w:t>
            </w:r>
          </w:p>
        </w:tc>
        <w:tc>
          <w:tcPr>
            <w:tcW w:type="dxa" w:w="1728"/>
          </w:tcPr>
          <w:p>
            <w:r>
              <w:rPr>
                <w:rFonts w:ascii="Calibri" w:hAnsi="Calibri"/>
                <w:b/>
                <w:color w:val="30A46C"/>
                <w:sz w:val="22"/>
              </w:rPr>
              <w:t>+3.8%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$1,445.9</w:t>
            </w:r>
          </w:p>
        </w:tc>
        <w:tc>
          <w:tcPr>
            <w:tcW w:type="dxa" w:w="1728"/>
          </w:tcPr>
          <w:p>
            <w:r>
              <w:rPr>
                <w:rFonts w:ascii="Calibri" w:hAnsi="Calibri"/>
                <w:sz w:val="22"/>
              </w:rPr>
              <w:t>$1,263.9</w:t>
            </w:r>
          </w:p>
        </w:tc>
        <w:tc>
          <w:tcPr>
            <w:tcW w:type="dxa" w:w="1728"/>
          </w:tcPr>
          <w:p>
            <w:r>
              <w:rPr>
                <w:rFonts w:ascii="Calibri" w:hAnsi="Calibri"/>
                <w:b/>
                <w:color w:val="30A46C"/>
                <w:sz w:val="22"/>
              </w:rPr>
              <w:t>+14.4%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$1,387.5</w:t>
            </w:r>
          </w:p>
        </w:tc>
        <w:tc>
          <w:tcPr>
            <w:tcW w:type="dxa" w:w="1728"/>
          </w:tcPr>
          <w:p>
            <w:r>
              <w:rPr>
                <w:rFonts w:ascii="Calibri" w:hAnsi="Calibri"/>
                <w:sz w:val="22"/>
              </w:rPr>
              <w:t>$1,344.6</w:t>
            </w:r>
          </w:p>
        </w:tc>
        <w:tc>
          <w:tcPr>
            <w:tcW w:type="dxa" w:w="1728"/>
          </w:tcPr>
          <w:p>
            <w:r>
              <w:rPr>
                <w:rFonts w:ascii="Calibri" w:hAnsi="Calibri"/>
                <w:b/>
                <w:color w:val="30A46C"/>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$980.8</w:t>
            </w:r>
          </w:p>
        </w:tc>
        <w:tc>
          <w:tcPr>
            <w:tcW w:type="dxa" w:w="1728"/>
          </w:tcPr>
          <w:p>
            <w:r>
              <w:rPr>
                <w:rFonts w:ascii="Calibri" w:hAnsi="Calibri"/>
                <w:sz w:val="22"/>
              </w:rPr>
              <w:t>$882.1</w:t>
            </w:r>
          </w:p>
        </w:tc>
        <w:tc>
          <w:tcPr>
            <w:tcW w:type="dxa" w:w="1728"/>
          </w:tcPr>
          <w:p>
            <w:r>
              <w:rPr>
                <w:rFonts w:ascii="Calibri" w:hAnsi="Calibri"/>
                <w:b/>
                <w:color w:val="30A46C"/>
                <w:sz w:val="22"/>
              </w:rPr>
              <w:t>+11.2%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$887.1</w:t>
            </w:r>
          </w:p>
        </w:tc>
        <w:tc>
          <w:tcPr>
            <w:tcW w:type="dxa" w:w="1728"/>
          </w:tcPr>
          <w:p>
            <w:r>
              <w:rPr>
                <w:rFonts w:ascii="Calibri" w:hAnsi="Calibri"/>
                <w:sz w:val="22"/>
              </w:rPr>
              <w:t>$773.0</w:t>
            </w:r>
          </w:p>
        </w:tc>
        <w:tc>
          <w:tcPr>
            <w:tcW w:type="dxa" w:w="1728"/>
          </w:tcPr>
          <w:p>
            <w:r>
              <w:rPr>
                <w:rFonts w:ascii="Calibri" w:hAnsi="Calibri"/>
                <w:b/>
                <w:color w:val="30A46C"/>
                <w:sz w:val="22"/>
              </w:rPr>
              <w:t>+14.7%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$1,101.6</w:t>
            </w:r>
          </w:p>
        </w:tc>
        <w:tc>
          <w:tcPr>
            <w:tcW w:type="dxa" w:w="1728"/>
          </w:tcPr>
          <w:p>
            <w:r>
              <w:rPr>
                <w:rFonts w:ascii="Calibri" w:hAnsi="Calibri"/>
                <w:sz w:val="22"/>
              </w:rPr>
              <w:t>$1,023.5</w:t>
            </w:r>
          </w:p>
        </w:tc>
        <w:tc>
          <w:tcPr>
            <w:tcW w:type="dxa" w:w="1728"/>
          </w:tcPr>
          <w:p>
            <w:r>
              <w:rPr>
                <w:rFonts w:ascii="Calibri" w:hAnsi="Calibri"/>
                <w:b/>
                <w:color w:val="30A46C"/>
                <w:sz w:val="22"/>
              </w:rPr>
              <w:t>+7.6%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$1,281.3</w:t>
            </w:r>
          </w:p>
        </w:tc>
        <w:tc>
          <w:tcPr>
            <w:tcW w:type="dxa" w:w="1728"/>
          </w:tcPr>
          <w:p>
            <w:r>
              <w:rPr>
                <w:rFonts w:ascii="Calibri" w:hAnsi="Calibri"/>
                <w:sz w:val="22"/>
              </w:rPr>
              <w:t>$1,298.5</w:t>
            </w:r>
          </w:p>
        </w:tc>
        <w:tc>
          <w:tcPr>
            <w:tcW w:type="dxa" w:w="1728"/>
          </w:tcPr>
          <w:p>
            <w:r>
              <w:rPr>
                <w:rFonts w:ascii="Calibri" w:hAnsi="Calibri"/>
                <w:b/>
                <w:color w:val="E5484D"/>
                <w:sz w:val="22"/>
              </w:rPr>
              <w:t>-1.3%</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$995.3</w:t>
            </w:r>
          </w:p>
        </w:tc>
        <w:tc>
          <w:tcPr>
            <w:tcW w:type="dxa" w:w="1728"/>
          </w:tcPr>
          <w:p>
            <w:r>
              <w:rPr>
                <w:rFonts w:ascii="Calibri" w:hAnsi="Calibri"/>
                <w:sz w:val="22"/>
              </w:rPr>
              <w:t>$941.5</w:t>
            </w:r>
          </w:p>
        </w:tc>
        <w:tc>
          <w:tcPr>
            <w:tcW w:type="dxa" w:w="1728"/>
          </w:tcPr>
          <w:p>
            <w:r>
              <w:rPr>
                <w:rFonts w:ascii="Calibri" w:hAnsi="Calibri"/>
                <w:b/>
                <w:color w:val="30A46C"/>
                <w:sz w:val="22"/>
              </w:rPr>
              <w:t>+5.7%</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HAS has beaten revenue consensus in 7 of the last 8 quarters, with an average beat of ~+8% — the only miss was Q3 2024 (-1.3%), which was driven by a Consumer Products shortfall. The consistent beat pattern reflects management's conservative guidance posture and Wizards' tendency to outperform.</w:t>
      </w:r>
    </w:p>
    <w:p>
      <w:pPr>
        <w:pStyle w:val="Heading4"/>
      </w:pPr>
      <w:r>
        <w:rPr>
          <w:rFonts w:ascii="Calibri" w:hAnsi="Calibri"/>
          <w:b/>
          <w:color w:val="3B4259"/>
          <w:sz w:val="22"/>
        </w:rPr>
        <w:t>Top KPI #2: Adj. EPS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$1.47</w:t>
            </w:r>
          </w:p>
        </w:tc>
        <w:tc>
          <w:tcPr>
            <w:tcW w:type="dxa" w:w="1728"/>
          </w:tcPr>
          <w:p>
            <w:r>
              <w:rPr>
                <w:rFonts w:ascii="Calibri" w:hAnsi="Calibri"/>
                <w:sz w:val="22"/>
              </w:rPr>
              <w:t>$1.14</w:t>
            </w:r>
          </w:p>
        </w:tc>
        <w:tc>
          <w:tcPr>
            <w:tcW w:type="dxa" w:w="1728"/>
          </w:tcPr>
          <w:p>
            <w:r>
              <w:rPr>
                <w:rFonts w:ascii="Calibri" w:hAnsi="Calibri"/>
                <w:b/>
                <w:color w:val="30A46C"/>
                <w:sz w:val="22"/>
              </w:rPr>
              <w:t>+29.3%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$1.51</w:t>
            </w:r>
          </w:p>
        </w:tc>
        <w:tc>
          <w:tcPr>
            <w:tcW w:type="dxa" w:w="1728"/>
          </w:tcPr>
          <w:p>
            <w:r>
              <w:rPr>
                <w:rFonts w:ascii="Calibri" w:hAnsi="Calibri"/>
                <w:sz w:val="22"/>
              </w:rPr>
              <w:t>$0.95</w:t>
            </w:r>
          </w:p>
        </w:tc>
        <w:tc>
          <w:tcPr>
            <w:tcW w:type="dxa" w:w="1728"/>
          </w:tcPr>
          <w:p>
            <w:r>
              <w:rPr>
                <w:rFonts w:ascii="Calibri" w:hAnsi="Calibri"/>
                <w:b/>
                <w:color w:val="30A46C"/>
                <w:sz w:val="22"/>
              </w:rPr>
              <w:t>+58.9%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$1.68</w:t>
            </w:r>
          </w:p>
        </w:tc>
        <w:tc>
          <w:tcPr>
            <w:tcW w:type="dxa" w:w="1728"/>
          </w:tcPr>
          <w:p>
            <w:r>
              <w:rPr>
                <w:rFonts w:ascii="Calibri" w:hAnsi="Calibri"/>
                <w:sz w:val="22"/>
              </w:rPr>
              <w:t>$1.64</w:t>
            </w:r>
          </w:p>
        </w:tc>
        <w:tc>
          <w:tcPr>
            <w:tcW w:type="dxa" w:w="1728"/>
          </w:tcPr>
          <w:p>
            <w:r>
              <w:rPr>
                <w:rFonts w:ascii="Calibri" w:hAnsi="Calibri"/>
                <w:b/>
                <w:color w:val="30A46C"/>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$1.30</w:t>
            </w:r>
          </w:p>
        </w:tc>
        <w:tc>
          <w:tcPr>
            <w:tcW w:type="dxa" w:w="1728"/>
          </w:tcPr>
          <w:p>
            <w:r>
              <w:rPr>
                <w:rFonts w:ascii="Calibri" w:hAnsi="Calibri"/>
                <w:sz w:val="22"/>
              </w:rPr>
              <w:t>$0.76</w:t>
            </w:r>
          </w:p>
        </w:tc>
        <w:tc>
          <w:tcPr>
            <w:tcW w:type="dxa" w:w="1728"/>
          </w:tcPr>
          <w:p>
            <w:r>
              <w:rPr>
                <w:rFonts w:ascii="Calibri" w:hAnsi="Calibri"/>
                <w:b/>
                <w:color w:val="30A46C"/>
                <w:sz w:val="22"/>
              </w:rPr>
              <w:t>+70.4%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$1.04</w:t>
            </w:r>
          </w:p>
        </w:tc>
        <w:tc>
          <w:tcPr>
            <w:tcW w:type="dxa" w:w="1728"/>
          </w:tcPr>
          <w:p>
            <w:r>
              <w:rPr>
                <w:rFonts w:ascii="Calibri" w:hAnsi="Calibri"/>
                <w:sz w:val="22"/>
              </w:rPr>
              <w:t>$0.68</w:t>
            </w:r>
          </w:p>
        </w:tc>
        <w:tc>
          <w:tcPr>
            <w:tcW w:type="dxa" w:w="1728"/>
          </w:tcPr>
          <w:p>
            <w:r>
              <w:rPr>
                <w:rFonts w:ascii="Calibri" w:hAnsi="Calibri"/>
                <w:b/>
                <w:color w:val="30A46C"/>
                <w:sz w:val="22"/>
              </w:rPr>
              <w:t>+52.9%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$0.46</w:t>
            </w:r>
          </w:p>
        </w:tc>
        <w:tc>
          <w:tcPr>
            <w:tcW w:type="dxa" w:w="1728"/>
          </w:tcPr>
          <w:p>
            <w:r>
              <w:rPr>
                <w:rFonts w:ascii="Calibri" w:hAnsi="Calibri"/>
                <w:sz w:val="22"/>
              </w:rPr>
              <w:t>$0.34</w:t>
            </w:r>
          </w:p>
        </w:tc>
        <w:tc>
          <w:tcPr>
            <w:tcW w:type="dxa" w:w="1728"/>
          </w:tcPr>
          <w:p>
            <w:r>
              <w:rPr>
                <w:rFonts w:ascii="Calibri" w:hAnsi="Calibri"/>
                <w:b/>
                <w:color w:val="30A46C"/>
                <w:sz w:val="22"/>
              </w:rPr>
              <w:t>+35.3%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$1.73</w:t>
            </w:r>
          </w:p>
        </w:tc>
        <w:tc>
          <w:tcPr>
            <w:tcW w:type="dxa" w:w="1728"/>
          </w:tcPr>
          <w:p>
            <w:r>
              <w:rPr>
                <w:rFonts w:ascii="Calibri" w:hAnsi="Calibri"/>
                <w:sz w:val="22"/>
              </w:rPr>
              <w:t>$1.28</w:t>
            </w:r>
          </w:p>
        </w:tc>
        <w:tc>
          <w:tcPr>
            <w:tcW w:type="dxa" w:w="1728"/>
          </w:tcPr>
          <w:p>
            <w:r>
              <w:rPr>
                <w:rFonts w:ascii="Calibri" w:hAnsi="Calibri"/>
                <w:b/>
                <w:color w:val="30A46C"/>
                <w:sz w:val="22"/>
              </w:rPr>
              <w:t>+35.7%</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$1.22</w:t>
            </w:r>
          </w:p>
        </w:tc>
        <w:tc>
          <w:tcPr>
            <w:tcW w:type="dxa" w:w="1728"/>
          </w:tcPr>
          <w:p>
            <w:r>
              <w:rPr>
                <w:rFonts w:ascii="Calibri" w:hAnsi="Calibri"/>
                <w:sz w:val="22"/>
              </w:rPr>
              <w:t>$0.76</w:t>
            </w:r>
          </w:p>
        </w:tc>
        <w:tc>
          <w:tcPr>
            <w:tcW w:type="dxa" w:w="1728"/>
          </w:tcPr>
          <w:p>
            <w:r>
              <w:rPr>
                <w:rFonts w:ascii="Calibri" w:hAnsi="Calibri"/>
                <w:b/>
                <w:color w:val="30A46C"/>
                <w:sz w:val="22"/>
              </w:rPr>
              <w:t>+60.5%</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HAS has beaten adj. EPS consensus in all 8 of the last 8 quarters, with an average beat of ~+43% — the magnitude of beats reflects both the company's conservative guidance posture and the street's historical tendency to underestimate Wizards' profitability. The Q2 2026 consensus of $1.14 is set against a $1.30 actual in Q2 2025, implying a -12% YoY decline, which appears conservative given management's bullish Q2 Wizards commentary.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Post-Q1 earnings estimate revisions were modestly positive for Q2 2026 — net revenue consensus moved from ~$1.059B to ~$1.069B and adj. EPS from ~$1.13 to ~$1.14 — reflecting the bullish Q2 Wizards commentary but tempered by the known CP timing headwind. FY2026 consensus remains tightly anchored to the guidance midpoint, suggesting the street is not yet pricing in meaningful upside to the full year.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Pre-Q1 Earnings Consensus (May 27, 2026 as-of)</w:t>
            </w:r>
          </w:p>
        </w:tc>
        <w:tc>
          <w:tcPr>
            <w:tcW w:type="dxa" w:w="1440"/>
            <w:shd w:val="clear" w:color="auto" w:fill="3B4259"/>
          </w:tcPr>
          <w:p>
            <w:r>
              <w:rPr>
                <w:rFonts w:ascii="Calibri" w:hAnsi="Calibri"/>
                <w:b/>
                <w:color w:val="FFFFFF"/>
                <w:sz w:val="22"/>
              </w:rPr>
              <w:t>Current Consensus (May 27, 2026)</w:t>
            </w:r>
          </w:p>
        </w:tc>
        <w:tc>
          <w:tcPr>
            <w:tcW w:type="dxa" w:w="1440"/>
            <w:shd w:val="clear" w:color="auto" w:fill="3B4259"/>
          </w:tcPr>
          <w:p>
            <w:r>
              <w:rPr>
                <w:rFonts w:ascii="Calibri" w:hAnsi="Calibri"/>
                <w:b/>
                <w:color w:val="FFFFFF"/>
                <w:sz w:val="22"/>
              </w:rPr>
              <w:t>Management Guidance</w:t>
            </w:r>
          </w:p>
        </w:tc>
        <w:tc>
          <w:tcPr>
            <w:tcW w:type="dxa" w:w="1440"/>
            <w:shd w:val="clear" w:color="auto" w:fill="3B4259"/>
          </w:tcPr>
          <w:p>
            <w:r>
              <w:rPr>
                <w:rFonts w:ascii="Calibri" w:hAnsi="Calibri"/>
                <w:b/>
                <w:color w:val="FFFFFF"/>
                <w:sz w:val="22"/>
              </w:rPr>
              <w:t>Cons. vs. Guidance</w:t>
            </w:r>
          </w:p>
        </w:tc>
        <w:tc>
          <w:tcPr>
            <w:tcW w:type="dxa" w:w="1440"/>
            <w:shd w:val="clear" w:color="auto" w:fill="3B4259"/>
          </w:tcPr>
          <w:p>
            <w:r>
              <w:rPr>
                <w:rFonts w:ascii="Calibri" w:hAnsi="Calibri"/>
                <w:b/>
                <w:color w:val="FFFFFF"/>
                <w:sz w:val="22"/>
              </w:rPr>
              <w:t>Assessment</w:t>
            </w:r>
          </w:p>
        </w:tc>
      </w:tr>
      <w:tr>
        <w:tc>
          <w:tcPr>
            <w:tcW w:type="dxa" w:w="1440"/>
          </w:tcPr>
          <w:p>
            <w:r>
              <w:rPr>
                <w:rFonts w:ascii="Calibri" w:hAnsi="Calibri"/>
                <w:sz w:val="22"/>
              </w:rPr>
              <w:t>Q2 2026 Net Revenue</w:t>
            </w:r>
          </w:p>
        </w:tc>
        <w:tc>
          <w:tcPr>
            <w:tcW w:type="dxa" w:w="1440"/>
          </w:tcPr>
          <w:p>
            <w:r>
              <w:rPr>
                <w:rFonts w:ascii="Calibri" w:hAnsi="Calibri"/>
                <w:sz w:val="22"/>
              </w:rPr>
              <w:t>~$1,059M (pre-Q1 baseline)</w:t>
            </w:r>
          </w:p>
        </w:tc>
        <w:tc>
          <w:tcPr>
            <w:tcW w:type="dxa" w:w="1440"/>
          </w:tcPr>
          <w:p>
            <w:r>
              <w:rPr>
                <w:rFonts w:ascii="Calibri" w:hAnsi="Calibri"/>
                <w:sz w:val="22"/>
              </w:rPr>
              <w:t>$1,069M</w:t>
            </w:r>
          </w:p>
        </w:tc>
        <w:tc>
          <w:tcPr>
            <w:tcW w:type="dxa" w:w="1440"/>
          </w:tcPr>
          <w:p>
            <w:r>
              <w:rPr>
                <w:rFonts w:ascii="Calibri" w:hAnsi="Calibri"/>
                <w:sz w:val="22"/>
              </w:rPr>
              <w:t>Q2 Wizards “quite robust”; CP low-single-digit</w:t>
            </w:r>
          </w:p>
        </w:tc>
        <w:tc>
          <w:tcPr>
            <w:tcW w:type="dxa" w:w="1440"/>
          </w:tcPr>
          <w:p>
            <w:r>
              <w:rPr>
                <w:rFonts w:ascii="Calibri" w:hAnsi="Calibri"/>
                <w:sz w:val="22"/>
              </w:rPr>
              <w:t>In line</w:t>
            </w:r>
          </w:p>
        </w:tc>
        <w:tc>
          <w:tcPr>
            <w:tcW w:type="dxa" w:w="1440"/>
          </w:tcPr>
          <w:p>
            <w:r>
              <w:rPr>
                <w:rFonts w:ascii="Calibri" w:hAnsi="Calibri"/>
                <w:sz w:val="22"/>
              </w:rPr>
              <w:t>Modest upward revision; bar is set but not stretched</w:t>
            </w:r>
          </w:p>
        </w:tc>
      </w:tr>
      <w:tr>
        <w:tc>
          <w:tcPr>
            <w:tcW w:type="dxa" w:w="1440"/>
          </w:tcPr>
          <w:p>
            <w:r>
              <w:rPr>
                <w:rFonts w:ascii="Calibri" w:hAnsi="Calibri"/>
                <w:sz w:val="22"/>
              </w:rPr>
              <w:t>Q2 2026 Adj. EPS</w:t>
            </w:r>
          </w:p>
        </w:tc>
        <w:tc>
          <w:tcPr>
            <w:tcW w:type="dxa" w:w="1440"/>
          </w:tcPr>
          <w:p>
            <w:r>
              <w:rPr>
                <w:rFonts w:ascii="Calibri" w:hAnsi="Calibri"/>
                <w:sz w:val="22"/>
              </w:rPr>
              <w:t>~$1.13 (pre-Q1 baseline)</w:t>
            </w:r>
          </w:p>
        </w:tc>
        <w:tc>
          <w:tcPr>
            <w:tcW w:type="dxa" w:w="1440"/>
          </w:tcPr>
          <w:p>
            <w:r>
              <w:rPr>
                <w:rFonts w:ascii="Calibri" w:hAnsi="Calibri"/>
                <w:sz w:val="22"/>
              </w:rPr>
              <w:t>$1.14</w:t>
            </w:r>
          </w:p>
        </w:tc>
        <w:tc>
          <w:tcPr>
            <w:tcW w:type="dxa" w:w="1440"/>
          </w:tcPr>
          <w:p>
            <w:r>
              <w:rPr>
                <w:rFonts w:ascii="Calibri" w:hAnsi="Calibri"/>
                <w:sz w:val="22"/>
              </w:rPr>
              <w:t>Implied from FY guide; Q2 seasonally lower</w:t>
            </w:r>
          </w:p>
        </w:tc>
        <w:tc>
          <w:tcPr>
            <w:tcW w:type="dxa" w:w="1440"/>
          </w:tcPr>
          <w:p>
            <w:r>
              <w:rPr>
                <w:rFonts w:ascii="Calibri" w:hAnsi="Calibri"/>
                <w:sz w:val="22"/>
              </w:rPr>
              <w:t>In line</w:t>
            </w:r>
          </w:p>
        </w:tc>
        <w:tc>
          <w:tcPr>
            <w:tcW w:type="dxa" w:w="1440"/>
          </w:tcPr>
          <w:p>
            <w:r>
              <w:rPr>
                <w:rFonts w:ascii="Calibri" w:hAnsi="Calibri"/>
                <w:sz w:val="22"/>
              </w:rPr>
              <w:t>Minimal revision; -12% YoY appears conservative vs. Q2 2025 beat pattern</w:t>
            </w:r>
          </w:p>
        </w:tc>
      </w:tr>
      <w:tr>
        <w:tc>
          <w:tcPr>
            <w:tcW w:type="dxa" w:w="1440"/>
          </w:tcPr>
          <w:p>
            <w:r>
              <w:rPr>
                <w:rFonts w:ascii="Calibri" w:hAnsi="Calibri"/>
                <w:sz w:val="22"/>
              </w:rPr>
              <w:t>Q2 2026 Adj. EBITDA</w:t>
            </w:r>
          </w:p>
        </w:tc>
        <w:tc>
          <w:tcPr>
            <w:tcW w:type="dxa" w:w="1440"/>
          </w:tcPr>
          <w:p>
            <w:r>
              <w:rPr>
                <w:rFonts w:ascii="Calibri" w:hAnsi="Calibri"/>
                <w:sz w:val="22"/>
              </w:rPr>
              <w:t>~$294M (pre-Q1 baseline)</w:t>
            </w:r>
          </w:p>
        </w:tc>
        <w:tc>
          <w:tcPr>
            <w:tcW w:type="dxa" w:w="1440"/>
          </w:tcPr>
          <w:p>
            <w:r>
              <w:rPr>
                <w:rFonts w:ascii="Calibri" w:hAnsi="Calibri"/>
                <w:sz w:val="22"/>
              </w:rPr>
              <w:t>$294.5M</w:t>
            </w:r>
          </w:p>
        </w:tc>
        <w:tc>
          <w:tcPr>
            <w:tcW w:type="dxa" w:w="1440"/>
          </w:tcPr>
          <w:p>
            <w:r>
              <w:rPr>
                <w:rFonts w:ascii="Calibri" w:hAnsi="Calibri"/>
                <w:sz w:val="22"/>
              </w:rPr>
              <w:t>FY $1.40–1.45B</w:t>
            </w:r>
          </w:p>
        </w:tc>
        <w:tc>
          <w:tcPr>
            <w:tcW w:type="dxa" w:w="1440"/>
          </w:tcPr>
          <w:p>
            <w:r>
              <w:rPr>
                <w:rFonts w:ascii="Calibri" w:hAnsi="Calibri"/>
                <w:sz w:val="22"/>
              </w:rPr>
              <w:t>~-2% vs. FY midpoint implied</w:t>
            </w:r>
          </w:p>
        </w:tc>
        <w:tc>
          <w:tcPr>
            <w:tcW w:type="dxa" w:w="1440"/>
          </w:tcPr>
          <w:p>
            <w:r>
              <w:rPr>
                <w:rFonts w:ascii="Calibri" w:hAnsi="Calibri"/>
                <w:sz w:val="22"/>
              </w:rPr>
              <w:t>Essentially flat; Q2 EBITDA consensus implies margin compression vs. Q1</w:t>
            </w:r>
          </w:p>
        </w:tc>
      </w:tr>
      <w:tr>
        <w:tc>
          <w:tcPr>
            <w:tcW w:type="dxa" w:w="1440"/>
          </w:tcPr>
          <w:p>
            <w:r>
              <w:rPr>
                <w:rFonts w:ascii="Calibri" w:hAnsi="Calibri"/>
                <w:sz w:val="22"/>
              </w:rPr>
              <w:t>FY2026 Net Revenue</w:t>
            </w:r>
          </w:p>
        </w:tc>
        <w:tc>
          <w:tcPr>
            <w:tcW w:type="dxa" w:w="1440"/>
          </w:tcPr>
          <w:p>
            <w:r>
              <w:rPr>
                <w:rFonts w:ascii="Calibri" w:hAnsi="Calibri"/>
                <w:sz w:val="22"/>
              </w:rPr>
              <w:t>N/A</w:t>
            </w:r>
          </w:p>
        </w:tc>
        <w:tc>
          <w:tcPr>
            <w:tcW w:type="dxa" w:w="1440"/>
          </w:tcPr>
          <w:p>
            <w:r>
              <w:rPr>
                <w:rFonts w:ascii="Calibri" w:hAnsi="Calibri"/>
                <w:sz w:val="22"/>
              </w:rPr>
              <w:t>$4,992M</w:t>
            </w:r>
          </w:p>
        </w:tc>
        <w:tc>
          <w:tcPr>
            <w:tcW w:type="dxa" w:w="1440"/>
          </w:tcPr>
          <w:p>
            <w:r>
              <w:rPr>
                <w:rFonts w:ascii="Calibri" w:hAnsi="Calibri"/>
                <w:sz w:val="22"/>
              </w:rPr>
              <w:t>+3–5% CC (implies ~$4,900–5,000M)</w:t>
            </w:r>
          </w:p>
        </w:tc>
        <w:tc>
          <w:tcPr>
            <w:tcW w:type="dxa" w:w="1440"/>
          </w:tcPr>
          <w:p>
            <w:r>
              <w:rPr>
                <w:rFonts w:ascii="Calibri" w:hAnsi="Calibri"/>
                <w:sz w:val="22"/>
              </w:rPr>
              <w:t>At high end of range</w:t>
            </w:r>
          </w:p>
        </w:tc>
        <w:tc>
          <w:tcPr>
            <w:tcW w:type="dxa" w:w="1440"/>
          </w:tcPr>
          <w:p>
            <w:r>
              <w:rPr>
                <w:rFonts w:ascii="Calibri" w:hAnsi="Calibri"/>
                <w:sz w:val="22"/>
              </w:rPr>
              <w:t>Street at top of guidance range; Q1 beat absorbed without raising FY</w:t>
            </w:r>
          </w:p>
        </w:tc>
      </w:tr>
      <w:tr>
        <w:tc>
          <w:tcPr>
            <w:tcW w:type="dxa" w:w="1440"/>
          </w:tcPr>
          <w:p>
            <w:r>
              <w:rPr>
                <w:rFonts w:ascii="Calibri" w:hAnsi="Calibri"/>
                <w:sz w:val="22"/>
              </w:rPr>
              <w:t>FY2026 Adj. EPS</w:t>
            </w:r>
          </w:p>
        </w:tc>
        <w:tc>
          <w:tcPr>
            <w:tcW w:type="dxa" w:w="1440"/>
          </w:tcPr>
          <w:p>
            <w:r>
              <w:rPr>
                <w:rFonts w:ascii="Calibri" w:hAnsi="Calibri"/>
                <w:sz w:val="22"/>
              </w:rPr>
              <w:t>N/A</w:t>
            </w:r>
          </w:p>
        </w:tc>
        <w:tc>
          <w:tcPr>
            <w:tcW w:type="dxa" w:w="1440"/>
          </w:tcPr>
          <w:p>
            <w:r>
              <w:rPr>
                <w:rFonts w:ascii="Calibri" w:hAnsi="Calibri"/>
                <w:sz w:val="22"/>
              </w:rPr>
              <w:t>$6.03</w:t>
            </w:r>
          </w:p>
        </w:tc>
        <w:tc>
          <w:tcPr>
            <w:tcW w:type="dxa" w:w="1440"/>
          </w:tcPr>
          <w:p>
            <w:r>
              <w:rPr>
                <w:rFonts w:ascii="Calibri" w:hAnsi="Calibri"/>
                <w:sz w:val="22"/>
              </w:rPr>
              <w:t>Implied from EBITDA guide</w:t>
            </w:r>
          </w:p>
        </w:tc>
        <w:tc>
          <w:tcPr>
            <w:tcW w:type="dxa" w:w="1440"/>
          </w:tcPr>
          <w:p>
            <w:r>
              <w:rPr>
                <w:rFonts w:ascii="Calibri" w:hAnsi="Calibri"/>
                <w:sz w:val="22"/>
              </w:rPr>
              <w:t>In line</w:t>
            </w:r>
          </w:p>
        </w:tc>
        <w:tc>
          <w:tcPr>
            <w:tcW w:type="dxa" w:w="1440"/>
          </w:tcPr>
          <w:p>
            <w:r>
              <w:rPr>
                <w:rFonts w:ascii="Calibri" w:hAnsi="Calibri"/>
                <w:sz w:val="22"/>
              </w:rPr>
              <w:t>No meaningful upside priced in; back-half oil cost headwinds keeping estimates anchored</w:t>
            </w:r>
          </w:p>
        </w:tc>
      </w:tr>
      <w:tr>
        <w:tc>
          <w:tcPr>
            <w:tcW w:type="dxa" w:w="1440"/>
          </w:tcPr>
          <w:p>
            <w:r>
              <w:rPr>
                <w:rFonts w:ascii="Calibri" w:hAnsi="Calibri"/>
                <w:sz w:val="22"/>
              </w:rPr>
              <w:t>FY2026 Adj. EBITDA</w:t>
            </w:r>
          </w:p>
        </w:tc>
        <w:tc>
          <w:tcPr>
            <w:tcW w:type="dxa" w:w="1440"/>
          </w:tcPr>
          <w:p>
            <w:r>
              <w:rPr>
                <w:rFonts w:ascii="Calibri" w:hAnsi="Calibri"/>
                <w:sz w:val="22"/>
              </w:rPr>
              <w:t>N/A</w:t>
            </w:r>
          </w:p>
        </w:tc>
        <w:tc>
          <w:tcPr>
            <w:tcW w:type="dxa" w:w="1440"/>
          </w:tcPr>
          <w:p>
            <w:r>
              <w:rPr>
                <w:rFonts w:ascii="Calibri" w:hAnsi="Calibri"/>
                <w:sz w:val="22"/>
              </w:rPr>
              <w:t>$1,462M</w:t>
            </w:r>
          </w:p>
        </w:tc>
        <w:tc>
          <w:tcPr>
            <w:tcW w:type="dxa" w:w="1440"/>
          </w:tcPr>
          <w:p>
            <w:r>
              <w:rPr>
                <w:rFonts w:ascii="Calibri" w:hAnsi="Calibri"/>
                <w:sz w:val="22"/>
              </w:rPr>
              <w:t>$1,400–1,450M</w:t>
            </w:r>
          </w:p>
        </w:tc>
        <w:tc>
          <w:tcPr>
            <w:tcW w:type="dxa" w:w="1440"/>
          </w:tcPr>
          <w:p>
            <w:r>
              <w:rPr>
                <w:rFonts w:ascii="Calibri" w:hAnsi="Calibri"/>
                <w:sz w:val="22"/>
              </w:rPr>
              <w:t>+0.8% above midpoint</w:t>
            </w:r>
          </w:p>
        </w:tc>
        <w:tc>
          <w:tcPr>
            <w:tcW w:type="dxa" w:w="1440"/>
          </w:tcPr>
          <w:p>
            <w:r>
              <w:rPr>
                <w:rFonts w:ascii="Calibri" w:hAnsi="Calibri"/>
                <w:sz w:val="22"/>
              </w:rPr>
              <w:t>Consensus slightly above guidance midpoint; manageable</w:t>
            </w:r>
          </w:p>
        </w:tc>
      </w:tr>
    </w:tbl>
    <w:p>
      <w:r>
        <w:rPr>
          <w:rFonts w:ascii="Calibri" w:hAnsi="Calibri"/>
          <w:b/>
          <w:color w:val="525866"/>
          <w:sz w:val="22"/>
        </w:rPr>
        <w:t xml:space="preserve">Commentary: </w:t>
      </w:r>
      <w:r>
        <w:rPr>
          <w:rFonts w:ascii="Calibri" w:hAnsi="Calibri"/>
          <w:color w:val="525866"/>
          <w:sz w:val="22"/>
        </w:rPr>
        <w:t>HAS's post-Q1 underperformance is notable given the company delivered a strong beat on both revenue (+3.8% vs. consensus) and adj. EPS (+29.3% vs. consensus). The stock initially declined modestly on May 20 because much of the beat had been pre-priced following a preliminary results release on April 23 that caused a sharp single-day surge. Since then, the stock has drifted lower by an additional ~8%, likely reflecting: (1) investor concern about the Q4 2026 Wizards comp headwind flagged by management; (2) the oil-related input cost headwinds introduced as a new back-half risk; and (3) broader consumer discretionary sector weakness. This setup — stock down ~8% from earnings, consensus not stretched, management bullish on Q2 — is constructive for a positive reaction on Q2 results.</w:t>
      </w:r>
    </w:p>
    <w:p>
      <w:r>
        <w:rPr>
          <w:rFonts w:ascii="Calibri" w:hAnsi="Calibri"/>
          <w:i/>
          <w:color w:val="525866"/>
          <w:sz w:val="22"/>
        </w:rPr>
        <w:t>Source: Stock Price Data.</w:t>
      </w:r>
    </w:p>
    <w:p>
      <w:pPr>
        <w:pStyle w:val="Heading3"/>
      </w:pPr>
      <w:r>
        <w:rPr>
          <w:rFonts w:ascii="Calibri" w:hAnsi="Calibri"/>
          <w:b/>
          <w:color w:val="3B4259"/>
          <w:sz w:val="24"/>
        </w:rPr>
        <w:t>Take-Two Interactive (TTWO) — Q4 FY2026 Earnings Call (May 21, 2026)</w:t>
      </w:r>
    </w:p>
    <w:p>
      <w:r>
        <w:rPr>
          <w:rFonts w:ascii="Calibri" w:hAnsi="Calibri"/>
          <w:b/>
          <w:color w:val="525866"/>
          <w:sz w:val="22"/>
        </w:rPr>
        <w:t xml:space="preserve">Relevance: </w:t>
      </w:r>
      <w:r>
        <w:rPr>
          <w:rFonts w:ascii="Calibri" w:hAnsi="Calibri"/>
          <w:color w:val="525866"/>
          <w:sz w:val="22"/>
        </w:rPr>
        <w:t>Take-Two is a read-through for HAS's digital gaming strategy (EXODUS, Warlock, Magic Arena) and the broader interactive entertainment demand environment. TTWO's commentary on consumer engagement, digital monetization, and the gaming market outlook is relevant context for HAS's Wizards &amp; Digital Gaming segment.</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TTWO Commentary</w:t>
            </w:r>
          </w:p>
        </w:tc>
        <w:tc>
          <w:tcPr>
            <w:tcW w:type="dxa" w:w="2880"/>
            <w:shd w:val="clear" w:color="auto" w:fill="3B4259"/>
          </w:tcPr>
          <w:p>
            <w:r>
              <w:rPr>
                <w:rFonts w:ascii="Calibri" w:hAnsi="Calibri"/>
                <w:b/>
                <w:color w:val="FFFFFF"/>
                <w:sz w:val="22"/>
              </w:rPr>
              <w:t>HAS Read-Through</w:t>
            </w:r>
          </w:p>
        </w:tc>
      </w:tr>
      <w:tr>
        <w:tc>
          <w:tcPr>
            <w:tcW w:type="dxa" w:w="2880"/>
          </w:tcPr>
          <w:p>
            <w:r>
              <w:rPr>
                <w:rFonts w:ascii="Calibri" w:hAnsi="Calibri"/>
                <w:sz w:val="22"/>
              </w:rPr>
              <w:t>Digital Gaming Demand</w:t>
            </w:r>
          </w:p>
        </w:tc>
        <w:tc>
          <w:tcPr>
            <w:tcW w:type="dxa" w:w="2880"/>
          </w:tcPr>
          <w:p>
            <w:r>
              <w:rPr>
                <w:rFonts w:ascii="Calibri" w:hAnsi="Calibri"/>
                <w:sz w:val="22"/>
              </w:rPr>
              <w:t>FY2026 concluded with "excellent results"; Q4 net bookings of $1.58B exceeded high end of guidance; full FY net bookings of $6.7B were ~$750M above initial guidance; GTA series "exceeded expectations" and shows "incredible momentum"</w:t>
            </w:r>
          </w:p>
        </w:tc>
        <w:tc>
          <w:tcPr>
            <w:tcW w:type="dxa" w:w="2880"/>
          </w:tcPr>
          <w:p>
            <w:r>
              <w:rPr>
                <w:rFonts w:ascii="Calibri" w:hAnsi="Calibri"/>
                <w:b/>
                <w:color w:val="30A46C"/>
                <w:sz w:val="22"/>
              </w:rPr>
              <w:t xml:space="preserve">Positive: </w:t>
            </w:r>
            <w:r>
              <w:rPr>
                <w:rFonts w:ascii="Calibri" w:hAnsi="Calibri"/>
                <w:sz w:val="22"/>
              </w:rPr>
              <w:t xml:space="preserve"> Strong digital gaming demand environment validates HAS's investment in AAA video game titles (EXODUS, Warlock) and Magic Arena expansion. Consumer appetite for premium digital gaming content is robust.</w:t>
            </w:r>
          </w:p>
        </w:tc>
      </w:tr>
      <w:tr>
        <w:tc>
          <w:tcPr>
            <w:tcW w:type="dxa" w:w="2880"/>
          </w:tcPr>
          <w:p>
            <w:r>
              <w:rPr>
                <w:rFonts w:ascii="Calibri" w:hAnsi="Calibri"/>
                <w:sz w:val="22"/>
              </w:rPr>
              <w:t>Recurrent Consumer Spending (RCS)</w:t>
            </w:r>
          </w:p>
        </w:tc>
        <w:tc>
          <w:tcPr>
            <w:tcW w:type="dxa" w:w="2880"/>
          </w:tcPr>
          <w:p>
            <w:r>
              <w:rPr>
                <w:rFonts w:ascii="Calibri" w:hAnsi="Calibri"/>
                <w:sz w:val="22"/>
              </w:rPr>
              <w:t>GTA Online RCS grew 5% YoY; NBA 2K26 RCS grew 10% on higher DAUs and games played per user; WWE 2K26 RCS up 20% YoY; PGA TOUR 2K25 saw 110% increase in rounds played QoQ</w:t>
            </w:r>
          </w:p>
        </w:tc>
        <w:tc>
          <w:tcPr>
            <w:tcW w:type="dxa" w:w="2880"/>
          </w:tcPr>
          <w:p>
            <w:r>
              <w:rPr>
                <w:rFonts w:ascii="Calibri" w:hAnsi="Calibri"/>
                <w:b/>
                <w:color w:val="30A46C"/>
                <w:sz w:val="22"/>
              </w:rPr>
              <w:t xml:space="preserve">Positive: </w:t>
            </w:r>
            <w:r>
              <w:rPr>
                <w:rFonts w:ascii="Calibri" w:hAnsi="Calibri"/>
                <w:sz w:val="22"/>
              </w:rPr>
              <w:t xml:space="preserve"> Strong RCS trends across TTWO's portfolio validate the recurring digital monetization model that HAS is building toward with Magic Arena's expansion into collectibility and social formats.</w:t>
            </w:r>
          </w:p>
        </w:tc>
      </w:tr>
      <w:tr>
        <w:tc>
          <w:tcPr>
            <w:tcW w:type="dxa" w:w="2880"/>
          </w:tcPr>
          <w:p>
            <w:r>
              <w:rPr>
                <w:rFonts w:ascii="Calibri" w:hAnsi="Calibri"/>
                <w:sz w:val="22"/>
              </w:rPr>
              <w:t>FY2027 Outlook</w:t>
            </w:r>
          </w:p>
        </w:tc>
        <w:tc>
          <w:tcPr>
            <w:tcW w:type="dxa" w:w="2880"/>
          </w:tcPr>
          <w:p>
            <w:r>
              <w:rPr>
                <w:rFonts w:ascii="Calibri" w:hAnsi="Calibri"/>
                <w:sz w:val="22"/>
              </w:rPr>
              <w:t>FY2027 is "poised to be a breakout year" with record net bookings guidance of $8.0–8.2B (+20% YoY), primarily driven by GTA VI launch (November 19); industry is "still on a sharp growth curve in terms of its cohort of engaged consumers"</w:t>
            </w:r>
          </w:p>
        </w:tc>
        <w:tc>
          <w:tcPr>
            <w:tcW w:type="dxa" w:w="2880"/>
          </w:tcPr>
          <w:p>
            <w:r>
              <w:rPr>
                <w:rFonts w:ascii="Calibri" w:hAnsi="Calibri"/>
                <w:b/>
                <w:color w:val="30A46C"/>
                <w:sz w:val="22"/>
              </w:rPr>
              <w:t xml:space="preserve">Positive: </w:t>
            </w:r>
            <w:r>
              <w:rPr>
                <w:rFonts w:ascii="Calibri" w:hAnsi="Calibri"/>
                <w:sz w:val="22"/>
              </w:rPr>
              <w:t xml:space="preserve"> Bullish industry outlook supports HAS's 2027 video game launch slate (EXODUS, Warlock). GTA VI's November 2026 launch could also drive broader gaming engagement that benefits Magic Arena and D&amp;D digital titles.</w:t>
            </w:r>
          </w:p>
        </w:tc>
      </w:tr>
      <w:tr>
        <w:tc>
          <w:tcPr>
            <w:tcW w:type="dxa" w:w="2880"/>
          </w:tcPr>
          <w:p>
            <w:r>
              <w:rPr>
                <w:rFonts w:ascii="Calibri" w:hAnsi="Calibri"/>
                <w:sz w:val="22"/>
              </w:rPr>
              <w:t>Direct-to-Consumer (D2C)</w:t>
            </w:r>
          </w:p>
        </w:tc>
        <w:tc>
          <w:tcPr>
            <w:tcW w:type="dxa" w:w="2880"/>
          </w:tcPr>
          <w:p>
            <w:r>
              <w:rPr>
                <w:rFonts w:ascii="Calibri" w:hAnsi="Calibri"/>
                <w:sz w:val="22"/>
              </w:rPr>
              <w:t>D2C channel "continues to drive net bookings and margin growth" by reducing payment friction and improving conversion and customer loyalty</w:t>
            </w:r>
          </w:p>
        </w:tc>
        <w:tc>
          <w:tcPr>
            <w:tcW w:type="dxa" w:w="2880"/>
          </w:tcPr>
          <w:p>
            <w:r>
              <w:rPr>
                <w:rFonts w:ascii="Calibri" w:hAnsi="Calibri"/>
                <w:b/>
                <w:color w:val="30A46C"/>
                <w:sz w:val="22"/>
              </w:rPr>
              <w:t xml:space="preserve">Positive: </w:t>
            </w:r>
            <w:r>
              <w:rPr>
                <w:rFonts w:ascii="Calibri" w:hAnsi="Calibri"/>
                <w:sz w:val="22"/>
              </w:rPr>
              <w:t xml:space="preserve"> Validates HAS's Magic Arena D2C strategy and the Arena/Disney Marvel digital rights deal, which expands the D2C digital collectibles opportunity for MAGIC.</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recent insider transactions are routine equity award grants to directors — no open-market purchases or sales by executives or directors. The absence of insider selling ahead of earnings is a mild positive signal; the absence of open-market buying is neutral given the grant-only nature of recent activity.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Type</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Shares</w:t>
            </w:r>
          </w:p>
        </w:tc>
      </w:tr>
      <w:tr>
        <w:tc>
          <w:tcPr>
            <w:tcW w:type="dxa" w:w="1234"/>
          </w:tcPr>
          <w:p>
            <w:r>
              <w:rPr>
                <w:rFonts w:ascii="Calibri" w:hAnsi="Calibri"/>
                <w:sz w:val="22"/>
              </w:rPr>
              <w:t>Jul 1, 2026</w:t>
            </w:r>
          </w:p>
        </w:tc>
        <w:tc>
          <w:tcPr>
            <w:tcW w:type="dxa" w:w="1234"/>
          </w:tcPr>
          <w:p>
            <w:r>
              <w:rPr>
                <w:rFonts w:ascii="Calibri" w:hAnsi="Calibri"/>
                <w:sz w:val="22"/>
              </w:rPr>
              <w:t>Jun 30, 2026</w:t>
            </w:r>
          </w:p>
        </w:tc>
        <w:tc>
          <w:tcPr>
            <w:tcW w:type="dxa" w:w="1234"/>
          </w:tcPr>
          <w:p>
            <w:r>
              <w:rPr>
                <w:rFonts w:ascii="Calibri" w:hAnsi="Calibri"/>
                <w:sz w:val="22"/>
              </w:rPr>
              <w:t>Bowser, Douglas S.</w:t>
            </w:r>
          </w:p>
        </w:tc>
        <w:tc>
          <w:tcPr>
            <w:tcW w:type="dxa" w:w="1234"/>
          </w:tcPr>
          <w:p>
            <w:r>
              <w:rPr>
                <w:rFonts w:ascii="Calibri" w:hAnsi="Calibri"/>
                <w:sz w:val="22"/>
              </w:rPr>
              <w:t>Director</w:t>
            </w:r>
          </w:p>
        </w:tc>
        <w:tc>
          <w:tcPr>
            <w:tcW w:type="dxa" w:w="1234"/>
          </w:tcPr>
          <w:p>
            <w:r>
              <w:rPr>
                <w:rFonts w:ascii="Calibri" w:hAnsi="Calibri"/>
                <w:sz w:val="22"/>
              </w:rPr>
              <w:t>Award Grant (A)</w:t>
            </w:r>
          </w:p>
        </w:tc>
        <w:tc>
          <w:tcPr>
            <w:tcW w:type="dxa" w:w="1234"/>
          </w:tcPr>
          <w:p>
            <w:r>
              <w:rPr>
                <w:rFonts w:ascii="Calibri" w:hAnsi="Calibri"/>
                <w:sz w:val="22"/>
              </w:rPr>
              <w:t>Stock Units</w:t>
            </w:r>
          </w:p>
        </w:tc>
        <w:tc>
          <w:tcPr>
            <w:tcW w:type="dxa" w:w="1234"/>
          </w:tcPr>
          <w:p>
            <w:r>
              <w:rPr>
                <w:rFonts w:ascii="Calibri" w:hAnsi="Calibri"/>
                <w:sz w:val="22"/>
              </w:rPr>
              <w:t>419</w:t>
            </w:r>
          </w:p>
        </w:tc>
      </w:tr>
      <w:tr>
        <w:tc>
          <w:tcPr>
            <w:tcW w:type="dxa" w:w="1234"/>
          </w:tcPr>
          <w:p>
            <w:r>
              <w:rPr>
                <w:rFonts w:ascii="Calibri" w:hAnsi="Calibri"/>
                <w:sz w:val="22"/>
              </w:rPr>
              <w:t>Jul 1, 2026</w:t>
            </w:r>
          </w:p>
        </w:tc>
        <w:tc>
          <w:tcPr>
            <w:tcW w:type="dxa" w:w="1234"/>
          </w:tcPr>
          <w:p>
            <w:r>
              <w:rPr>
                <w:rFonts w:ascii="Calibri" w:hAnsi="Calibri"/>
                <w:sz w:val="22"/>
              </w:rPr>
              <w:t>Jun 30, 2026</w:t>
            </w:r>
          </w:p>
        </w:tc>
        <w:tc>
          <w:tcPr>
            <w:tcW w:type="dxa" w:w="1234"/>
          </w:tcPr>
          <w:p>
            <w:r>
              <w:rPr>
                <w:rFonts w:ascii="Calibri" w:hAnsi="Calibri"/>
                <w:sz w:val="22"/>
              </w:rPr>
              <w:t>Gersh, Lisa</w:t>
            </w:r>
          </w:p>
        </w:tc>
        <w:tc>
          <w:tcPr>
            <w:tcW w:type="dxa" w:w="1234"/>
          </w:tcPr>
          <w:p>
            <w:r>
              <w:rPr>
                <w:rFonts w:ascii="Calibri" w:hAnsi="Calibri"/>
                <w:sz w:val="22"/>
              </w:rPr>
              <w:t>Director</w:t>
            </w:r>
          </w:p>
        </w:tc>
        <w:tc>
          <w:tcPr>
            <w:tcW w:type="dxa" w:w="1234"/>
          </w:tcPr>
          <w:p>
            <w:r>
              <w:rPr>
                <w:rFonts w:ascii="Calibri" w:hAnsi="Calibri"/>
                <w:sz w:val="22"/>
              </w:rPr>
              <w:t>Award Grant (A)</w:t>
            </w:r>
          </w:p>
        </w:tc>
        <w:tc>
          <w:tcPr>
            <w:tcW w:type="dxa" w:w="1234"/>
          </w:tcPr>
          <w:p>
            <w:r>
              <w:rPr>
                <w:rFonts w:ascii="Calibri" w:hAnsi="Calibri"/>
                <w:sz w:val="22"/>
              </w:rPr>
              <w:t>Stock Units</w:t>
            </w:r>
          </w:p>
        </w:tc>
        <w:tc>
          <w:tcPr>
            <w:tcW w:type="dxa" w:w="1234"/>
          </w:tcPr>
          <w:p>
            <w:r>
              <w:rPr>
                <w:rFonts w:ascii="Calibri" w:hAnsi="Calibri"/>
                <w:sz w:val="22"/>
              </w:rPr>
              <w:t>783</w:t>
            </w:r>
          </w:p>
        </w:tc>
      </w:tr>
      <w:tr>
        <w:tc>
          <w:tcPr>
            <w:tcW w:type="dxa" w:w="1234"/>
          </w:tcPr>
          <w:p>
            <w:r>
              <w:rPr>
                <w:rFonts w:ascii="Calibri" w:hAnsi="Calibri"/>
                <w:sz w:val="22"/>
              </w:rPr>
              <w:t>Jul 1, 2026</w:t>
            </w:r>
          </w:p>
        </w:tc>
        <w:tc>
          <w:tcPr>
            <w:tcW w:type="dxa" w:w="1234"/>
          </w:tcPr>
          <w:p>
            <w:r>
              <w:rPr>
                <w:rFonts w:ascii="Calibri" w:hAnsi="Calibri"/>
                <w:sz w:val="22"/>
              </w:rPr>
              <w:t>Jun 30, 2026</w:t>
            </w:r>
          </w:p>
        </w:tc>
        <w:tc>
          <w:tcPr>
            <w:tcW w:type="dxa" w:w="1234"/>
          </w:tcPr>
          <w:p>
            <w:r>
              <w:rPr>
                <w:rFonts w:ascii="Calibri" w:hAnsi="Calibri"/>
                <w:sz w:val="22"/>
              </w:rPr>
              <w:t>Stoddart, Richard S.</w:t>
            </w:r>
          </w:p>
        </w:tc>
        <w:tc>
          <w:tcPr>
            <w:tcW w:type="dxa" w:w="1234"/>
          </w:tcPr>
          <w:p>
            <w:r>
              <w:rPr>
                <w:rFonts w:ascii="Calibri" w:hAnsi="Calibri"/>
                <w:sz w:val="22"/>
              </w:rPr>
              <w:t>Chair of the Board</w:t>
            </w:r>
          </w:p>
        </w:tc>
        <w:tc>
          <w:tcPr>
            <w:tcW w:type="dxa" w:w="1234"/>
          </w:tcPr>
          <w:p>
            <w:r>
              <w:rPr>
                <w:rFonts w:ascii="Calibri" w:hAnsi="Calibri"/>
                <w:sz w:val="22"/>
              </w:rPr>
              <w:t>Award Grant (A)</w:t>
            </w:r>
          </w:p>
        </w:tc>
        <w:tc>
          <w:tcPr>
            <w:tcW w:type="dxa" w:w="1234"/>
          </w:tcPr>
          <w:p>
            <w:r>
              <w:rPr>
                <w:rFonts w:ascii="Calibri" w:hAnsi="Calibri"/>
                <w:sz w:val="22"/>
              </w:rPr>
              <w:t>Stock Units</w:t>
            </w:r>
          </w:p>
        </w:tc>
        <w:tc>
          <w:tcPr>
            <w:tcW w:type="dxa" w:w="1234"/>
          </w:tcPr>
          <w:p>
            <w:r>
              <w:rPr>
                <w:rFonts w:ascii="Calibri" w:hAnsi="Calibri"/>
                <w:sz w:val="22"/>
              </w:rPr>
              <w:t>144</w:t>
            </w:r>
          </w:p>
        </w:tc>
      </w:tr>
      <w:tr>
        <w:tc>
          <w:tcPr>
            <w:tcW w:type="dxa" w:w="1234"/>
          </w:tcPr>
          <w:p>
            <w:r>
              <w:rPr>
                <w:rFonts w:ascii="Calibri" w:hAnsi="Calibri"/>
                <w:sz w:val="22"/>
              </w:rPr>
              <w:t>Jun 15, 2026</w:t>
            </w:r>
          </w:p>
        </w:tc>
        <w:tc>
          <w:tcPr>
            <w:tcW w:type="dxa" w:w="1234"/>
          </w:tcPr>
          <w:p>
            <w:r>
              <w:rPr>
                <w:rFonts w:ascii="Calibri" w:hAnsi="Calibri"/>
                <w:sz w:val="22"/>
              </w:rPr>
              <w:t>Jun 11, 2026</w:t>
            </w:r>
          </w:p>
        </w:tc>
        <w:tc>
          <w:tcPr>
            <w:tcW w:type="dxa" w:w="1234"/>
          </w:tcPr>
          <w:p>
            <w:r>
              <w:rPr>
                <w:rFonts w:ascii="Calibri" w:hAnsi="Calibri"/>
                <w:sz w:val="22"/>
              </w:rPr>
              <w:t>Bowser, Douglas S.</w:t>
            </w:r>
          </w:p>
        </w:tc>
        <w:tc>
          <w:tcPr>
            <w:tcW w:type="dxa" w:w="1234"/>
          </w:tcPr>
          <w:p>
            <w:r>
              <w:rPr>
                <w:rFonts w:ascii="Calibri" w:hAnsi="Calibri"/>
                <w:sz w:val="22"/>
              </w:rPr>
              <w:t>Director</w:t>
            </w:r>
          </w:p>
        </w:tc>
        <w:tc>
          <w:tcPr>
            <w:tcW w:type="dxa" w:w="1234"/>
          </w:tcPr>
          <w:p>
            <w:r>
              <w:rPr>
                <w:rFonts w:ascii="Calibri" w:hAnsi="Calibri"/>
                <w:sz w:val="22"/>
              </w:rPr>
              <w:t>Award Grant (A)</w:t>
            </w:r>
          </w:p>
        </w:tc>
        <w:tc>
          <w:tcPr>
            <w:tcW w:type="dxa" w:w="1234"/>
          </w:tcPr>
          <w:p>
            <w:r>
              <w:rPr>
                <w:rFonts w:ascii="Calibri" w:hAnsi="Calibri"/>
                <w:sz w:val="22"/>
              </w:rPr>
              <w:t>Common Stock</w:t>
            </w:r>
          </w:p>
        </w:tc>
        <w:tc>
          <w:tcPr>
            <w:tcW w:type="dxa" w:w="1234"/>
          </w:tcPr>
          <w:p>
            <w:r>
              <w:rPr>
                <w:rFonts w:ascii="Calibri" w:hAnsi="Calibri"/>
                <w:sz w:val="22"/>
              </w:rPr>
              <w:t>2,224</w:t>
            </w:r>
          </w:p>
        </w:tc>
      </w:tr>
      <w:tr>
        <w:tc>
          <w:tcPr>
            <w:tcW w:type="dxa" w:w="1234"/>
          </w:tcPr>
          <w:p>
            <w:r>
              <w:rPr>
                <w:rFonts w:ascii="Calibri" w:hAnsi="Calibri"/>
                <w:sz w:val="22"/>
              </w:rPr>
              <w:t>Jun 15, 2026</w:t>
            </w:r>
          </w:p>
        </w:tc>
        <w:tc>
          <w:tcPr>
            <w:tcW w:type="dxa" w:w="1234"/>
          </w:tcPr>
          <w:p>
            <w:r>
              <w:rPr>
                <w:rFonts w:ascii="Calibri" w:hAnsi="Calibri"/>
                <w:sz w:val="22"/>
              </w:rPr>
              <w:t>Jun 11, 2026</w:t>
            </w:r>
          </w:p>
        </w:tc>
        <w:tc>
          <w:tcPr>
            <w:tcW w:type="dxa" w:w="1234"/>
          </w:tcPr>
          <w:p>
            <w:r>
              <w:rPr>
                <w:rFonts w:ascii="Calibri" w:hAnsi="Calibri"/>
                <w:sz w:val="22"/>
              </w:rPr>
              <w:t>Cochran, Hope F.</w:t>
            </w:r>
          </w:p>
        </w:tc>
        <w:tc>
          <w:tcPr>
            <w:tcW w:type="dxa" w:w="1234"/>
          </w:tcPr>
          <w:p>
            <w:r>
              <w:rPr>
                <w:rFonts w:ascii="Calibri" w:hAnsi="Calibri"/>
                <w:sz w:val="22"/>
              </w:rPr>
              <w:t>Director</w:t>
            </w:r>
          </w:p>
        </w:tc>
        <w:tc>
          <w:tcPr>
            <w:tcW w:type="dxa" w:w="1234"/>
          </w:tcPr>
          <w:p>
            <w:r>
              <w:rPr>
                <w:rFonts w:ascii="Calibri" w:hAnsi="Calibri"/>
                <w:sz w:val="22"/>
              </w:rPr>
              <w:t>Award Grant (A)</w:t>
            </w:r>
          </w:p>
        </w:tc>
        <w:tc>
          <w:tcPr>
            <w:tcW w:type="dxa" w:w="1234"/>
          </w:tcPr>
          <w:p>
            <w:r>
              <w:rPr>
                <w:rFonts w:ascii="Calibri" w:hAnsi="Calibri"/>
                <w:sz w:val="22"/>
              </w:rPr>
              <w:t>Common Stock</w:t>
            </w:r>
          </w:p>
        </w:tc>
        <w:tc>
          <w:tcPr>
            <w:tcW w:type="dxa" w:w="1234"/>
          </w:tcPr>
          <w:p>
            <w:r>
              <w:rPr>
                <w:rFonts w:ascii="Calibri" w:hAnsi="Calibri"/>
                <w:sz w:val="22"/>
              </w:rPr>
              <w:t>2,224</w:t>
            </w:r>
          </w:p>
        </w:tc>
      </w:tr>
      <w:tr>
        <w:tc>
          <w:tcPr>
            <w:tcW w:type="dxa" w:w="1234"/>
          </w:tcPr>
          <w:p>
            <w:r>
              <w:rPr>
                <w:rFonts w:ascii="Calibri" w:hAnsi="Calibri"/>
                <w:sz w:val="22"/>
              </w:rPr>
              <w:t>Jun 15, 2026</w:t>
            </w:r>
          </w:p>
        </w:tc>
        <w:tc>
          <w:tcPr>
            <w:tcW w:type="dxa" w:w="1234"/>
          </w:tcPr>
          <w:p>
            <w:r>
              <w:rPr>
                <w:rFonts w:ascii="Calibri" w:hAnsi="Calibri"/>
                <w:sz w:val="22"/>
              </w:rPr>
              <w:t>Jun 11, 2026</w:t>
            </w:r>
          </w:p>
        </w:tc>
        <w:tc>
          <w:tcPr>
            <w:tcW w:type="dxa" w:w="1234"/>
          </w:tcPr>
          <w:p>
            <w:r>
              <w:rPr>
                <w:rFonts w:ascii="Calibri" w:hAnsi="Calibri"/>
                <w:sz w:val="22"/>
              </w:rPr>
              <w:t>Gersh, Lisa</w:t>
            </w:r>
          </w:p>
        </w:tc>
        <w:tc>
          <w:tcPr>
            <w:tcW w:type="dxa" w:w="1234"/>
          </w:tcPr>
          <w:p>
            <w:r>
              <w:rPr>
                <w:rFonts w:ascii="Calibri" w:hAnsi="Calibri"/>
                <w:sz w:val="22"/>
              </w:rPr>
              <w:t>Director</w:t>
            </w:r>
          </w:p>
        </w:tc>
        <w:tc>
          <w:tcPr>
            <w:tcW w:type="dxa" w:w="1234"/>
          </w:tcPr>
          <w:p>
            <w:r>
              <w:rPr>
                <w:rFonts w:ascii="Calibri" w:hAnsi="Calibri"/>
                <w:sz w:val="22"/>
              </w:rPr>
              <w:t>Award Grant (A)</w:t>
            </w:r>
          </w:p>
        </w:tc>
        <w:tc>
          <w:tcPr>
            <w:tcW w:type="dxa" w:w="1234"/>
          </w:tcPr>
          <w:p>
            <w:r>
              <w:rPr>
                <w:rFonts w:ascii="Calibri" w:hAnsi="Calibri"/>
                <w:sz w:val="22"/>
              </w:rPr>
              <w:t>Common Stock</w:t>
            </w:r>
          </w:p>
        </w:tc>
        <w:tc>
          <w:tcPr>
            <w:tcW w:type="dxa" w:w="1234"/>
          </w:tcPr>
          <w:p>
            <w:r>
              <w:rPr>
                <w:rFonts w:ascii="Calibri" w:hAnsi="Calibri"/>
                <w:sz w:val="22"/>
              </w:rPr>
              <w:t>2,224</w:t>
            </w:r>
          </w:p>
        </w:tc>
      </w:tr>
      <w:tr>
        <w:tc>
          <w:tcPr>
            <w:tcW w:type="dxa" w:w="1234"/>
          </w:tcPr>
          <w:p>
            <w:r>
              <w:rPr>
                <w:rFonts w:ascii="Calibri" w:hAnsi="Calibri"/>
                <w:sz w:val="22"/>
              </w:rPr>
              <w:t>Jun 15, 2026</w:t>
            </w:r>
          </w:p>
        </w:tc>
        <w:tc>
          <w:tcPr>
            <w:tcW w:type="dxa" w:w="1234"/>
          </w:tcPr>
          <w:p>
            <w:r>
              <w:rPr>
                <w:rFonts w:ascii="Calibri" w:hAnsi="Calibri"/>
                <w:sz w:val="22"/>
              </w:rPr>
              <w:t>Jun 11, 2026</w:t>
            </w:r>
          </w:p>
        </w:tc>
        <w:tc>
          <w:tcPr>
            <w:tcW w:type="dxa" w:w="1234"/>
          </w:tcPr>
          <w:p>
            <w:r>
              <w:rPr>
                <w:rFonts w:ascii="Calibri" w:hAnsi="Calibri"/>
                <w:sz w:val="22"/>
              </w:rPr>
              <w:t>Gibeau, Frank D.</w:t>
            </w:r>
          </w:p>
        </w:tc>
        <w:tc>
          <w:tcPr>
            <w:tcW w:type="dxa" w:w="1234"/>
          </w:tcPr>
          <w:p>
            <w:r>
              <w:rPr>
                <w:rFonts w:ascii="Calibri" w:hAnsi="Calibri"/>
                <w:sz w:val="22"/>
              </w:rPr>
              <w:t>Director</w:t>
            </w:r>
          </w:p>
        </w:tc>
        <w:tc>
          <w:tcPr>
            <w:tcW w:type="dxa" w:w="1234"/>
          </w:tcPr>
          <w:p>
            <w:r>
              <w:rPr>
                <w:rFonts w:ascii="Calibri" w:hAnsi="Calibri"/>
                <w:sz w:val="22"/>
              </w:rPr>
              <w:t>Award Grant (A)</w:t>
            </w:r>
          </w:p>
        </w:tc>
        <w:tc>
          <w:tcPr>
            <w:tcW w:type="dxa" w:w="1234"/>
          </w:tcPr>
          <w:p>
            <w:r>
              <w:rPr>
                <w:rFonts w:ascii="Calibri" w:hAnsi="Calibri"/>
                <w:sz w:val="22"/>
              </w:rPr>
              <w:t>Common Stock</w:t>
            </w:r>
          </w:p>
        </w:tc>
        <w:tc>
          <w:tcPr>
            <w:tcW w:type="dxa" w:w="1234"/>
          </w:tcPr>
          <w:p>
            <w:r>
              <w:rPr>
                <w:rFonts w:ascii="Calibri" w:hAnsi="Calibri"/>
                <w:sz w:val="22"/>
              </w:rPr>
              <w:t>2,224</w:t>
            </w:r>
          </w:p>
        </w:tc>
      </w:tr>
      <w:tr>
        <w:tc>
          <w:tcPr>
            <w:tcW w:type="dxa" w:w="1234"/>
          </w:tcPr>
          <w:p>
            <w:r>
              <w:rPr>
                <w:rFonts w:ascii="Calibri" w:hAnsi="Calibri"/>
                <w:sz w:val="22"/>
              </w:rPr>
              <w:t>Jun 15, 2026</w:t>
            </w:r>
          </w:p>
        </w:tc>
        <w:tc>
          <w:tcPr>
            <w:tcW w:type="dxa" w:w="1234"/>
          </w:tcPr>
          <w:p>
            <w:r>
              <w:rPr>
                <w:rFonts w:ascii="Calibri" w:hAnsi="Calibri"/>
                <w:sz w:val="22"/>
              </w:rPr>
              <w:t>Jun 11, 2026</w:t>
            </w:r>
          </w:p>
        </w:tc>
        <w:tc>
          <w:tcPr>
            <w:tcW w:type="dxa" w:w="1234"/>
          </w:tcPr>
          <w:p>
            <w:r>
              <w:rPr>
                <w:rFonts w:ascii="Calibri" w:hAnsi="Calibri"/>
                <w:sz w:val="22"/>
              </w:rPr>
              <w:t>Hamren, Elizabeth</w:t>
            </w:r>
          </w:p>
        </w:tc>
        <w:tc>
          <w:tcPr>
            <w:tcW w:type="dxa" w:w="1234"/>
          </w:tcPr>
          <w:p>
            <w:r>
              <w:rPr>
                <w:rFonts w:ascii="Calibri" w:hAnsi="Calibri"/>
                <w:sz w:val="22"/>
              </w:rPr>
              <w:t>Director</w:t>
            </w:r>
          </w:p>
        </w:tc>
        <w:tc>
          <w:tcPr>
            <w:tcW w:type="dxa" w:w="1234"/>
          </w:tcPr>
          <w:p>
            <w:r>
              <w:rPr>
                <w:rFonts w:ascii="Calibri" w:hAnsi="Calibri"/>
                <w:sz w:val="22"/>
              </w:rPr>
              <w:t>Award Grant (A)</w:t>
            </w:r>
          </w:p>
        </w:tc>
        <w:tc>
          <w:tcPr>
            <w:tcW w:type="dxa" w:w="1234"/>
          </w:tcPr>
          <w:p>
            <w:r>
              <w:rPr>
                <w:rFonts w:ascii="Calibri" w:hAnsi="Calibri"/>
                <w:sz w:val="22"/>
              </w:rPr>
              <w:t>Common Stock</w:t>
            </w:r>
          </w:p>
        </w:tc>
        <w:tc>
          <w:tcPr>
            <w:tcW w:type="dxa" w:w="1234"/>
          </w:tcPr>
          <w:p>
            <w:r>
              <w:rPr>
                <w:rFonts w:ascii="Calibri" w:hAnsi="Calibri"/>
                <w:sz w:val="22"/>
              </w:rPr>
              <w:t>2,224</w:t>
            </w:r>
          </w:p>
        </w:tc>
      </w:tr>
      <w:tr>
        <w:tc>
          <w:tcPr>
            <w:tcW w:type="dxa" w:w="1234"/>
          </w:tcPr>
          <w:p>
            <w:r>
              <w:rPr>
                <w:rFonts w:ascii="Calibri" w:hAnsi="Calibri"/>
                <w:sz w:val="22"/>
              </w:rPr>
              <w:t>Jun 15, 2026</w:t>
            </w:r>
          </w:p>
        </w:tc>
        <w:tc>
          <w:tcPr>
            <w:tcW w:type="dxa" w:w="1234"/>
          </w:tcPr>
          <w:p>
            <w:r>
              <w:rPr>
                <w:rFonts w:ascii="Calibri" w:hAnsi="Calibri"/>
                <w:sz w:val="22"/>
              </w:rPr>
              <w:t>Jun 11, 2026</w:t>
            </w:r>
          </w:p>
        </w:tc>
        <w:tc>
          <w:tcPr>
            <w:tcW w:type="dxa" w:w="1234"/>
          </w:tcPr>
          <w:p>
            <w:r>
              <w:rPr>
                <w:rFonts w:ascii="Calibri" w:hAnsi="Calibri"/>
                <w:sz w:val="22"/>
              </w:rPr>
              <w:t>Harris, Darin S.</w:t>
            </w:r>
          </w:p>
        </w:tc>
        <w:tc>
          <w:tcPr>
            <w:tcW w:type="dxa" w:w="1234"/>
          </w:tcPr>
          <w:p>
            <w:r>
              <w:rPr>
                <w:rFonts w:ascii="Calibri" w:hAnsi="Calibri"/>
                <w:sz w:val="22"/>
              </w:rPr>
              <w:t>Director</w:t>
            </w:r>
          </w:p>
        </w:tc>
        <w:tc>
          <w:tcPr>
            <w:tcW w:type="dxa" w:w="1234"/>
          </w:tcPr>
          <w:p>
            <w:r>
              <w:rPr>
                <w:rFonts w:ascii="Calibri" w:hAnsi="Calibri"/>
                <w:sz w:val="22"/>
              </w:rPr>
              <w:t>Award Grant (A)</w:t>
            </w:r>
          </w:p>
        </w:tc>
        <w:tc>
          <w:tcPr>
            <w:tcW w:type="dxa" w:w="1234"/>
          </w:tcPr>
          <w:p>
            <w:r>
              <w:rPr>
                <w:rFonts w:ascii="Calibri" w:hAnsi="Calibri"/>
                <w:sz w:val="22"/>
              </w:rPr>
              <w:t>Common Stock</w:t>
            </w:r>
          </w:p>
        </w:tc>
        <w:tc>
          <w:tcPr>
            <w:tcW w:type="dxa" w:w="1234"/>
          </w:tcPr>
          <w:p>
            <w:r>
              <w:rPr>
                <w:rFonts w:ascii="Calibri" w:hAnsi="Calibri"/>
                <w:sz w:val="22"/>
              </w:rPr>
              <w:t>2,224</w:t>
            </w:r>
          </w:p>
        </w:tc>
      </w:tr>
      <w:tr>
        <w:tc>
          <w:tcPr>
            <w:tcW w:type="dxa" w:w="1234"/>
          </w:tcPr>
          <w:p>
            <w:r>
              <w:rPr>
                <w:rFonts w:ascii="Calibri" w:hAnsi="Calibri"/>
                <w:sz w:val="22"/>
              </w:rPr>
              <w:t>Jun 15, 2026</w:t>
            </w:r>
          </w:p>
        </w:tc>
        <w:tc>
          <w:tcPr>
            <w:tcW w:type="dxa" w:w="1234"/>
          </w:tcPr>
          <w:p>
            <w:r>
              <w:rPr>
                <w:rFonts w:ascii="Calibri" w:hAnsi="Calibri"/>
                <w:sz w:val="22"/>
              </w:rPr>
              <w:t>Jun 11, 2026</w:t>
            </w:r>
          </w:p>
        </w:tc>
        <w:tc>
          <w:tcPr>
            <w:tcW w:type="dxa" w:w="1234"/>
          </w:tcPr>
          <w:p>
            <w:r>
              <w:rPr>
                <w:rFonts w:ascii="Calibri" w:hAnsi="Calibri"/>
                <w:sz w:val="22"/>
              </w:rPr>
              <w:t>Mahoney, Owen</w:t>
            </w:r>
          </w:p>
        </w:tc>
        <w:tc>
          <w:tcPr>
            <w:tcW w:type="dxa" w:w="1234"/>
          </w:tcPr>
          <w:p>
            <w:r>
              <w:rPr>
                <w:rFonts w:ascii="Calibri" w:hAnsi="Calibri"/>
                <w:sz w:val="22"/>
              </w:rPr>
              <w:t>Director</w:t>
            </w:r>
          </w:p>
        </w:tc>
        <w:tc>
          <w:tcPr>
            <w:tcW w:type="dxa" w:w="1234"/>
          </w:tcPr>
          <w:p>
            <w:r>
              <w:rPr>
                <w:rFonts w:ascii="Calibri" w:hAnsi="Calibri"/>
                <w:sz w:val="22"/>
              </w:rPr>
              <w:t>Award Grant (A)</w:t>
            </w:r>
          </w:p>
        </w:tc>
        <w:tc>
          <w:tcPr>
            <w:tcW w:type="dxa" w:w="1234"/>
          </w:tcPr>
          <w:p>
            <w:r>
              <w:rPr>
                <w:rFonts w:ascii="Calibri" w:hAnsi="Calibri"/>
                <w:sz w:val="22"/>
              </w:rPr>
              <w:t>Common Stock</w:t>
            </w:r>
          </w:p>
        </w:tc>
        <w:tc>
          <w:tcPr>
            <w:tcW w:type="dxa" w:w="1234"/>
          </w:tcPr>
          <w:p>
            <w:r>
              <w:rPr>
                <w:rFonts w:ascii="Calibri" w:hAnsi="Calibri"/>
                <w:sz w:val="22"/>
              </w:rPr>
              <w:t>2,224</w:t>
            </w:r>
          </w:p>
        </w:tc>
      </w:tr>
      <w:tr>
        <w:tc>
          <w:tcPr>
            <w:tcW w:type="dxa" w:w="1234"/>
          </w:tcPr>
          <w:p>
            <w:r>
              <w:rPr>
                <w:rFonts w:ascii="Calibri" w:hAnsi="Calibri"/>
                <w:sz w:val="22"/>
              </w:rPr>
              <w:t>Jun 15, 2026</w:t>
            </w:r>
          </w:p>
        </w:tc>
        <w:tc>
          <w:tcPr>
            <w:tcW w:type="dxa" w:w="1234"/>
          </w:tcPr>
          <w:p>
            <w:r>
              <w:rPr>
                <w:rFonts w:ascii="Calibri" w:hAnsi="Calibri"/>
                <w:sz w:val="22"/>
              </w:rPr>
              <w:t>Jun 11, 2026</w:t>
            </w:r>
          </w:p>
        </w:tc>
        <w:tc>
          <w:tcPr>
            <w:tcW w:type="dxa" w:w="1234"/>
          </w:tcPr>
          <w:p>
            <w:r>
              <w:rPr>
                <w:rFonts w:ascii="Calibri" w:hAnsi="Calibri"/>
                <w:sz w:val="22"/>
              </w:rPr>
              <w:t>Richie, Laurel</w:t>
            </w:r>
          </w:p>
        </w:tc>
        <w:tc>
          <w:tcPr>
            <w:tcW w:type="dxa" w:w="1234"/>
          </w:tcPr>
          <w:p>
            <w:r>
              <w:rPr>
                <w:rFonts w:ascii="Calibri" w:hAnsi="Calibri"/>
                <w:sz w:val="22"/>
              </w:rPr>
              <w:t>Director</w:t>
            </w:r>
          </w:p>
        </w:tc>
        <w:tc>
          <w:tcPr>
            <w:tcW w:type="dxa" w:w="1234"/>
          </w:tcPr>
          <w:p>
            <w:r>
              <w:rPr>
                <w:rFonts w:ascii="Calibri" w:hAnsi="Calibri"/>
                <w:sz w:val="22"/>
              </w:rPr>
              <w:t>Award Grant (A)</w:t>
            </w:r>
          </w:p>
        </w:tc>
        <w:tc>
          <w:tcPr>
            <w:tcW w:type="dxa" w:w="1234"/>
          </w:tcPr>
          <w:p>
            <w:r>
              <w:rPr>
                <w:rFonts w:ascii="Calibri" w:hAnsi="Calibri"/>
                <w:sz w:val="22"/>
              </w:rPr>
              <w:t>Common Stock</w:t>
            </w:r>
          </w:p>
        </w:tc>
        <w:tc>
          <w:tcPr>
            <w:tcW w:type="dxa" w:w="1234"/>
          </w:tcPr>
          <w:p>
            <w:r>
              <w:rPr>
                <w:rFonts w:ascii="Calibri" w:hAnsi="Calibri"/>
                <w:sz w:val="22"/>
              </w:rPr>
              <w:t>2,224</w:t>
            </w:r>
          </w:p>
        </w:tc>
      </w:tr>
      <w:tr>
        <w:tc>
          <w:tcPr>
            <w:tcW w:type="dxa" w:w="1234"/>
          </w:tcPr>
          <w:p>
            <w:r>
              <w:rPr>
                <w:rFonts w:ascii="Calibri" w:hAnsi="Calibri"/>
                <w:sz w:val="22"/>
              </w:rPr>
              <w:t>Jun 15, 2026</w:t>
            </w:r>
          </w:p>
        </w:tc>
        <w:tc>
          <w:tcPr>
            <w:tcW w:type="dxa" w:w="1234"/>
          </w:tcPr>
          <w:p>
            <w:r>
              <w:rPr>
                <w:rFonts w:ascii="Calibri" w:hAnsi="Calibri"/>
                <w:sz w:val="22"/>
              </w:rPr>
              <w:t>Jun 11, 2026</w:t>
            </w:r>
          </w:p>
        </w:tc>
        <w:tc>
          <w:tcPr>
            <w:tcW w:type="dxa" w:w="1234"/>
          </w:tcPr>
          <w:p>
            <w:r>
              <w:rPr>
                <w:rFonts w:ascii="Calibri" w:hAnsi="Calibri"/>
                <w:sz w:val="22"/>
              </w:rPr>
              <w:t>Stoddart, Richard S.</w:t>
            </w:r>
          </w:p>
        </w:tc>
        <w:tc>
          <w:tcPr>
            <w:tcW w:type="dxa" w:w="1234"/>
          </w:tcPr>
          <w:p>
            <w:r>
              <w:rPr>
                <w:rFonts w:ascii="Calibri" w:hAnsi="Calibri"/>
                <w:sz w:val="22"/>
              </w:rPr>
              <w:t>Chair of the Board</w:t>
            </w:r>
          </w:p>
        </w:tc>
        <w:tc>
          <w:tcPr>
            <w:tcW w:type="dxa" w:w="1234"/>
          </w:tcPr>
          <w:p>
            <w:r>
              <w:rPr>
                <w:rFonts w:ascii="Calibri" w:hAnsi="Calibri"/>
                <w:sz w:val="22"/>
              </w:rPr>
              <w:t>Award Grant (A)</w:t>
            </w:r>
          </w:p>
        </w:tc>
        <w:tc>
          <w:tcPr>
            <w:tcW w:type="dxa" w:w="1234"/>
          </w:tcPr>
          <w:p>
            <w:r>
              <w:rPr>
                <w:rFonts w:ascii="Calibri" w:hAnsi="Calibri"/>
                <w:sz w:val="22"/>
              </w:rPr>
              <w:t>Common Stock</w:t>
            </w:r>
          </w:p>
        </w:tc>
        <w:tc>
          <w:tcPr>
            <w:tcW w:type="dxa" w:w="1234"/>
          </w:tcPr>
          <w:p>
            <w:r>
              <w:rPr>
                <w:rFonts w:ascii="Calibri" w:hAnsi="Calibri"/>
                <w:sz w:val="22"/>
              </w:rPr>
              <w:t>2,224</w:t>
            </w:r>
          </w:p>
        </w:tc>
      </w:tr>
      <w:tr>
        <w:tc>
          <w:tcPr>
            <w:tcW w:type="dxa" w:w="1234"/>
          </w:tcPr>
          <w:p>
            <w:r>
              <w:rPr>
                <w:rFonts w:ascii="Calibri" w:hAnsi="Calibri"/>
                <w:sz w:val="22"/>
              </w:rPr>
              <w:t>Jun 15, 2026</w:t>
            </w:r>
          </w:p>
        </w:tc>
        <w:tc>
          <w:tcPr>
            <w:tcW w:type="dxa" w:w="1234"/>
          </w:tcPr>
          <w:p>
            <w:r>
              <w:rPr>
                <w:rFonts w:ascii="Calibri" w:hAnsi="Calibri"/>
                <w:sz w:val="22"/>
              </w:rPr>
              <w:t>Jun 11, 2026</w:t>
            </w:r>
          </w:p>
        </w:tc>
        <w:tc>
          <w:tcPr>
            <w:tcW w:type="dxa" w:w="1234"/>
          </w:tcPr>
          <w:p>
            <w:r>
              <w:rPr>
                <w:rFonts w:ascii="Calibri" w:hAnsi="Calibri"/>
                <w:sz w:val="22"/>
              </w:rPr>
              <w:t>Vernon, Carla</w:t>
            </w:r>
          </w:p>
        </w:tc>
        <w:tc>
          <w:tcPr>
            <w:tcW w:type="dxa" w:w="1234"/>
          </w:tcPr>
          <w:p>
            <w:r>
              <w:rPr>
                <w:rFonts w:ascii="Calibri" w:hAnsi="Calibri"/>
                <w:sz w:val="22"/>
              </w:rPr>
              <w:t>Director</w:t>
            </w:r>
          </w:p>
        </w:tc>
        <w:tc>
          <w:tcPr>
            <w:tcW w:type="dxa" w:w="1234"/>
          </w:tcPr>
          <w:p>
            <w:r>
              <w:rPr>
                <w:rFonts w:ascii="Calibri" w:hAnsi="Calibri"/>
                <w:sz w:val="22"/>
              </w:rPr>
              <w:t>Award Grant (A)</w:t>
            </w:r>
          </w:p>
        </w:tc>
        <w:tc>
          <w:tcPr>
            <w:tcW w:type="dxa" w:w="1234"/>
          </w:tcPr>
          <w:p>
            <w:r>
              <w:rPr>
                <w:rFonts w:ascii="Calibri" w:hAnsi="Calibri"/>
                <w:sz w:val="22"/>
              </w:rPr>
              <w:t>Common Stock</w:t>
            </w:r>
          </w:p>
        </w:tc>
        <w:tc>
          <w:tcPr>
            <w:tcW w:type="dxa" w:w="1234"/>
          </w:tcPr>
          <w:p>
            <w:r>
              <w:rPr>
                <w:rFonts w:ascii="Calibri" w:hAnsi="Calibri"/>
                <w:sz w:val="22"/>
              </w:rPr>
              <w:t>2,224</w:t>
            </w:r>
          </w:p>
        </w:tc>
      </w:tr>
    </w:tbl>
    <w:p>
      <w:r>
        <w:rPr>
          <w:rFonts w:ascii="Calibri" w:hAnsi="Calibri"/>
          <w:b/>
          <w:color w:val="525866"/>
          <w:sz w:val="22"/>
        </w:rPr>
        <w:t xml:space="preserve">Analysis: </w:t>
      </w:r>
      <w:r>
        <w:rPr>
          <w:rFonts w:ascii="Calibri" w:hAnsi="Calibri"/>
          <w:color w:val="525866"/>
          <w:sz w:val="22"/>
        </w:rPr>
        <w:t>All 13 insider transactions in the last 60 days are equity award grants (Form 4, transaction code “A”) to non-executive directors — the June 11 grants of 2,224 shares each to 10 directors appear to be the annual director equity compensation awards, and the June 30 stock unit grants to three directors are likely quarterly or supplemental awards. There are no open-market purchases or sales by any executive officer or director. The complete absence of insider selling in the 60 days ahead of earnings is a mild positive signal — no insider is reducing exposure ahead of the print. The absence of open-market buying is neutral given the routine grant-only nature of recent activity.</w:t>
      </w:r>
    </w:p>
    <w:p>
      <w:r>
        <w:rPr>
          <w:rFonts w:ascii="Calibri" w:hAnsi="Calibri"/>
          <w:i/>
          <w:color w:val="525866"/>
          <w:sz w:val="22"/>
        </w:rPr>
        <w:t>Source: Insider Transaction Data (SEC Form 4 filings).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