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Hasbro, Inc. (HAS) — Q2 2026 Earnings Preview</w:t>
      </w:r>
    </w:p>
    <w:p>
      <w:r>
        <w:rPr>
          <w:rFonts w:ascii="Calibri" w:hAnsi="Calibri"/>
          <w:b/>
          <w:color w:val="525866"/>
          <w:sz w:val="22"/>
        </w:rPr>
        <w:t xml:space="preserve">Ticker: </w:t>
      </w:r>
      <w:r>
        <w:rPr>
          <w:rFonts w:ascii="Calibri" w:hAnsi="Calibri"/>
          <w:color w:val="525866"/>
          <w:sz w:val="22"/>
        </w:rPr>
        <w:t xml:space="preserve">HAS (NASDAQ)   </w:t>
      </w:r>
      <w:r>
        <w:rPr>
          <w:rFonts w:ascii="Calibri" w:hAnsi="Calibri"/>
          <w:b/>
          <w:color w:val="525866"/>
          <w:sz w:val="22"/>
        </w:rPr>
        <w:t xml:space="preserve">Earnings Date: </w:t>
      </w:r>
      <w:r>
        <w:rPr>
          <w:rFonts w:ascii="Calibri" w:hAnsi="Calibri"/>
          <w:color w:val="525866"/>
          <w:sz w:val="22"/>
        </w:rPr>
        <w:t xml:space="preserve">July 21, 2026 (Pre-Market)   </w:t>
      </w:r>
      <w:r>
        <w:rPr>
          <w:rFonts w:ascii="Calibri" w:hAnsi="Calibri"/>
          <w:b/>
          <w:color w:val="525866"/>
          <w:sz w:val="22"/>
        </w:rPr>
        <w:t xml:space="preserve">Prepared: </w:t>
      </w:r>
      <w:r>
        <w:rPr>
          <w:rFonts w:ascii="Calibri" w:hAnsi="Calibri"/>
          <w:color w:val="525866"/>
          <w:sz w:val="22"/>
        </w:rPr>
        <w:t xml:space="preserve">July 20, 2026   </w:t>
      </w:r>
      <w:r>
        <w:rPr>
          <w:rFonts w:ascii="Calibri" w:hAnsi="Calibri"/>
          <w:b/>
          <w:color w:val="525866"/>
          <w:sz w:val="22"/>
        </w:rPr>
        <w:t xml:space="preserve">Reporting Period: </w:t>
      </w:r>
      <w:r>
        <w:rPr>
          <w:rFonts w:ascii="Calibri" w:hAnsi="Calibri"/>
          <w:color w:val="525866"/>
          <w:sz w:val="22"/>
        </w:rPr>
        <w:t>Q2 2026 (quarter ending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a manageable bar with a known headwind already baked in — the cybersecurity incident shifted ~$40–60M of Consumer Products revenue out of Q2 into Q3, so the Street has already de-risked the quarter; the real swing factor is whether </w:t>
      </w:r>
      <w:r>
        <w:rPr>
          <w:rFonts w:ascii="Calibri" w:hAnsi="Calibri"/>
          <w:b/>
          <w:color w:val="525866"/>
          <w:sz w:val="22"/>
        </w:rPr>
        <w:t>Wizards/Magic momentum</w:t>
      </w:r>
      <w:r>
        <w:rPr>
          <w:rFonts w:ascii="Calibri" w:hAnsi="Calibri"/>
          <w:color w:val="525866"/>
          <w:sz w:val="22"/>
        </w:rPr>
        <w:t xml:space="preserve"> (consensus: ~$479M, +16% YoY) can sustain its record-breaking pace and whether Consumer Products POS trends translate into enough shipping to offset the cyber drag.</w:t>
      </w:r>
    </w:p>
    <w:p>
      <w:r>
        <w:rPr>
          <w:rFonts w:ascii="Calibri" w:hAnsi="Calibri"/>
          <w:color w:val="525866"/>
          <w:sz w:val="22"/>
        </w:rPr>
        <w:t xml:space="preserve">Heading into Q2 2026, the consensus bar for Hasbro looks appropriately calibrated — total revenue consensus of ~$1.07B implies +8% YoY growth, with the Street already accounting for the ~$40–60M Consumer Products revenue shift caused by the late-March cybersecurity incident. Management guided explicitly for Wizards to have a "quite robust" Q2 driven by the Secrets of Strixhaven release (which management disclosed had already surpassed Lorwyn Eclipsed as the largest Magic Premier set ever) and the Marvel Super Heroes launch, while Consumer Products was guided to grow at only a low-single-digit rate in Q2 versus the originally anticipated low-double-digit rate. </w:t>
      </w:r>
      <w:r>
        <w:rPr>
          <w:rFonts w:ascii="Calibri" w:hAnsi="Calibri"/>
          <w:b/>
          <w:color w:val="525866"/>
          <w:sz w:val="22"/>
        </w:rPr>
        <w:t>Guidance tone has been confident and contained</w:t>
      </w:r>
      <w:r>
        <w:rPr>
          <w:rFonts w:ascii="Calibri" w:hAnsi="Calibri"/>
          <w:color w:val="525866"/>
          <w:sz w:val="22"/>
        </w:rPr>
        <w:t>: the April 23 pre-announcement reiterated full-year guidance (revenue +3–5% constant currency, adj. EBITDA $1.40–1.45B, adj. operating margin 24–25%), and the May 20 Q1 call reinforced that the cyber impact is a timing issue, not a demand issue, with POS trends positive through end of April. Estimate revisions have drifted modestly lower since the Q1 print — Q2 adj. EPS consensus has slipped from ~$1.13 to ~$1.05 — reflecting the cyber-driven revenue timing shift and oil-related input cost headwinds (~$30M full-year impact at $100/bbl oil, back-half weighted), but the full-year EPS consensus of ~$5.99 is essentially unchanged, suggesting the Street views Q2 softness as transitory. The stock has underperformed since the Q1 print (down ~8% vs. XLY flat), with multiple compression (NTM EV/EBITDA from ~11x to ~9.5x) doing most of the damage, leaving the setup less crowded and the bar lower than it was in May. The key wildcard is the magnitude of the Wizards beat: if Secrets of Strixhaven and Marvel Super Heroes shipments are as strong as management's commentary implies, a meaningful revenue and EPS upside surprise is achievable, but any signal of Q4 Wizards deceleration (management flagged potential Q4 decline on tough comps) could cap the stock reaction.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the cyber-driven CP revenue shift has already been absorbed in estimates, making </w:t>
      </w:r>
      <w:r>
        <w:rPr>
          <w:rFonts w:ascii="Calibri" w:hAnsi="Calibri"/>
          <w:b/>
          <w:color w:val="525866"/>
          <w:sz w:val="22"/>
        </w:rPr>
        <w:t>Magic/Wizards revenue</w:t>
      </w:r>
      <w:r>
        <w:rPr>
          <w:rFonts w:ascii="Calibri" w:hAnsi="Calibri"/>
          <w:color w:val="525866"/>
          <w:sz w:val="22"/>
        </w:rPr>
        <w:t xml:space="preserve"> the primary swing factor; a beat there can more than offset CP softness, while any Wizards miss would be hard to recover from given the segment's outsized margin contribution.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 (FY or Segment)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($M)</w:t>
            </w:r>
          </w:p>
        </w:tc>
        <w:tc>
          <w:tcPr>
            <w:tcW w:type="dxa" w:w="1234"/>
          </w:tcPr>
          <w:p>
            <w:r>
              <w:rPr>
                <w:rFonts w:ascii="Calibri" w:hAnsi="Calibri"/>
                <w:sz w:val="22"/>
              </w:rPr>
              <w:t>$1,000.2M</w:t>
            </w:r>
          </w:p>
        </w:tc>
        <w:tc>
          <w:tcPr>
            <w:tcW w:type="dxa" w:w="1234"/>
          </w:tcPr>
          <w:p>
            <w:r>
              <w:rPr>
                <w:rFonts w:ascii="Calibri" w:hAnsi="Calibri"/>
                <w:sz w:val="22"/>
              </w:rPr>
              <w:t>$980.8M</w:t>
            </w:r>
          </w:p>
        </w:tc>
        <w:tc>
          <w:tcPr>
            <w:tcW w:type="dxa" w:w="1234"/>
          </w:tcPr>
          <w:p>
            <w:r>
              <w:rPr>
                <w:rFonts w:ascii="Calibri" w:hAnsi="Calibri"/>
                <w:sz w:val="22"/>
              </w:rPr>
              <w:t>$1,069.3M</w:t>
            </w:r>
          </w:p>
        </w:tc>
        <w:tc>
          <w:tcPr>
            <w:tcW w:type="dxa" w:w="1234"/>
          </w:tcPr>
          <w:p>
            <w:r>
              <w:rPr>
                <w:rFonts w:ascii="Calibri" w:hAnsi="Calibri"/>
                <w:sz w:val="22"/>
              </w:rPr>
              <w:t>+9.0%</w:t>
            </w:r>
          </w:p>
        </w:tc>
        <w:tc>
          <w:tcPr>
            <w:tcW w:type="dxa" w:w="1234"/>
          </w:tcPr>
          <w:p>
            <w:r>
              <w:rPr>
                <w:rFonts w:ascii="Calibri" w:hAnsi="Calibri"/>
                <w:sz w:val="22"/>
              </w:rPr>
              <w:t>FY +3–5% CC; Wizards mid-SD; CP low-SD</w:t>
            </w:r>
          </w:p>
        </w:tc>
        <w:tc>
          <w:tcPr>
            <w:tcW w:type="dxa" w:w="1234"/>
          </w:tcPr>
          <w:p>
            <w:r>
              <w:rPr>
                <w:rFonts w:ascii="Calibri" w:hAnsi="Calibri"/>
                <w:sz w:val="22"/>
              </w:rPr>
              <w:t>On track with FY range</w:t>
            </w:r>
          </w:p>
        </w:tc>
      </w:tr>
      <w:tr>
        <w:tc>
          <w:tcPr>
            <w:tcW w:type="dxa" w:w="1234"/>
          </w:tcPr>
          <w:p>
            <w:r>
              <w:rPr>
                <w:rFonts w:ascii="Calibri" w:hAnsi="Calibri"/>
                <w:sz w:val="22"/>
              </w:rPr>
              <w:t>Adj. EPS — Diluted ($)</w:t>
            </w:r>
          </w:p>
        </w:tc>
        <w:tc>
          <w:tcPr>
            <w:tcW w:type="dxa" w:w="1234"/>
          </w:tcPr>
          <w:p>
            <w:r>
              <w:rPr>
                <w:rFonts w:ascii="Calibri" w:hAnsi="Calibri"/>
                <w:sz w:val="22"/>
              </w:rPr>
              <w:t>$1.47</w:t>
            </w:r>
          </w:p>
        </w:tc>
        <w:tc>
          <w:tcPr>
            <w:tcW w:type="dxa" w:w="1234"/>
          </w:tcPr>
          <w:p>
            <w:r>
              <w:rPr>
                <w:rFonts w:ascii="Calibri" w:hAnsi="Calibri"/>
                <w:sz w:val="22"/>
              </w:rPr>
              <w:t>$1.30</w:t>
            </w:r>
          </w:p>
        </w:tc>
        <w:tc>
          <w:tcPr>
            <w:tcW w:type="dxa" w:w="1234"/>
          </w:tcPr>
          <w:p>
            <w:r>
              <w:rPr>
                <w:rFonts w:ascii="Calibri" w:hAnsi="Calibri"/>
                <w:sz w:val="22"/>
              </w:rPr>
              <w:t>$1.14</w:t>
            </w:r>
          </w:p>
        </w:tc>
        <w:tc>
          <w:tcPr>
            <w:tcW w:type="dxa" w:w="1234"/>
          </w:tcPr>
          <w:p>
            <w:r>
              <w:rPr>
                <w:rFonts w:ascii="Calibri" w:hAnsi="Calibri"/>
                <w:sz w:val="22"/>
              </w:rPr>
              <w:t>−12.3%</w:t>
            </w:r>
          </w:p>
        </w:tc>
        <w:tc>
          <w:tcPr>
            <w:tcW w:type="dxa" w:w="1234"/>
          </w:tcPr>
          <w:p>
            <w:r>
              <w:rPr>
                <w:rFonts w:ascii="Calibri" w:hAnsi="Calibri"/>
                <w:sz w:val="22"/>
              </w:rPr>
              <w:t>FY adj. op. margin 24–25%</w:t>
            </w:r>
          </w:p>
        </w:tc>
        <w:tc>
          <w:tcPr>
            <w:tcW w:type="dxa" w:w="1234"/>
          </w:tcPr>
          <w:p>
            <w:r>
              <w:rPr>
                <w:rFonts w:ascii="Calibri" w:hAnsi="Calibri"/>
                <w:sz w:val="22"/>
              </w:rPr>
              <w:t>Consistent with back-half weighting</w:t>
            </w:r>
          </w:p>
        </w:tc>
      </w:tr>
      <w:tr>
        <w:tc>
          <w:tcPr>
            <w:tcW w:type="dxa" w:w="1234"/>
          </w:tcPr>
          <w:p>
            <w:r>
              <w:rPr>
                <w:rFonts w:ascii="Calibri" w:hAnsi="Calibri"/>
                <w:sz w:val="22"/>
              </w:rPr>
              <w:t>MAGIC: THE GATHERING Revenue ($M)</w:t>
            </w:r>
          </w:p>
        </w:tc>
        <w:tc>
          <w:tcPr>
            <w:tcW w:type="dxa" w:w="1234"/>
          </w:tcPr>
          <w:p>
            <w:r>
              <w:rPr>
                <w:rFonts w:ascii="Calibri" w:hAnsi="Calibri"/>
                <w:sz w:val="22"/>
              </w:rPr>
              <w:t>$469.6M</w:t>
            </w:r>
          </w:p>
        </w:tc>
        <w:tc>
          <w:tcPr>
            <w:tcW w:type="dxa" w:w="1234"/>
          </w:tcPr>
          <w:p>
            <w:r>
              <w:rPr>
                <w:rFonts w:ascii="Calibri" w:hAnsi="Calibri"/>
                <w:sz w:val="22"/>
              </w:rPr>
              <w:t>$412.0M</w:t>
            </w:r>
          </w:p>
        </w:tc>
        <w:tc>
          <w:tcPr>
            <w:tcW w:type="dxa" w:w="1234"/>
          </w:tcPr>
          <w:p>
            <w:r>
              <w:rPr>
                <w:rFonts w:ascii="Calibri" w:hAnsi="Calibri"/>
                <w:sz w:val="22"/>
              </w:rPr>
              <w:t>$478.9M</w:t>
            </w:r>
          </w:p>
        </w:tc>
        <w:tc>
          <w:tcPr>
            <w:tcW w:type="dxa" w:w="1234"/>
          </w:tcPr>
          <w:p>
            <w:r>
              <w:rPr>
                <w:rFonts w:ascii="Calibri" w:hAnsi="Calibri"/>
                <w:sz w:val="22"/>
              </w:rPr>
              <w:t>+16.2%</w:t>
            </w:r>
          </w:p>
        </w:tc>
        <w:tc>
          <w:tcPr>
            <w:tcW w:type="dxa" w:w="1234"/>
          </w:tcPr>
          <w:p>
            <w:r>
              <w:rPr>
                <w:rFonts w:ascii="Calibri" w:hAnsi="Calibri"/>
                <w:sz w:val="22"/>
              </w:rPr>
              <w:t>Wizards mid-SD revenue growth FY; Q2 "quite robust"</w:t>
            </w:r>
          </w:p>
        </w:tc>
        <w:tc>
          <w:tcPr>
            <w:tcW w:type="dxa" w:w="1234"/>
          </w:tcPr>
          <w:p>
            <w:r>
              <w:rPr>
                <w:rFonts w:ascii="Calibri" w:hAnsi="Calibri"/>
                <w:sz w:val="22"/>
              </w:rPr>
              <w:t>Ahead of FY pace; Q2 guided strong</w:t>
            </w:r>
          </w:p>
        </w:tc>
      </w:tr>
      <w:tr>
        <w:tc>
          <w:tcPr>
            <w:tcW w:type="dxa" w:w="1234"/>
          </w:tcPr>
          <w:p>
            <w:r>
              <w:rPr>
                <w:rFonts w:ascii="Calibri" w:hAnsi="Calibri"/>
                <w:sz w:val="22"/>
              </w:rPr>
              <w:t>Consumer Products Revenue ($M)</w:t>
            </w:r>
          </w:p>
        </w:tc>
        <w:tc>
          <w:tcPr>
            <w:tcW w:type="dxa" w:w="1234"/>
          </w:tcPr>
          <w:p>
            <w:r>
              <w:rPr>
                <w:rFonts w:ascii="Calibri" w:hAnsi="Calibri"/>
                <w:sz w:val="22"/>
              </w:rPr>
              <w:t>$397.9M</w:t>
            </w:r>
          </w:p>
        </w:tc>
        <w:tc>
          <w:tcPr>
            <w:tcW w:type="dxa" w:w="1234"/>
          </w:tcPr>
          <w:p>
            <w:r>
              <w:rPr>
                <w:rFonts w:ascii="Calibri" w:hAnsi="Calibri"/>
                <w:sz w:val="22"/>
              </w:rPr>
              <w:t>$442.4M</w:t>
            </w:r>
          </w:p>
        </w:tc>
        <w:tc>
          <w:tcPr>
            <w:tcW w:type="dxa" w:w="1234"/>
          </w:tcPr>
          <w:p>
            <w:r>
              <w:rPr>
                <w:rFonts w:ascii="Calibri" w:hAnsi="Calibri"/>
                <w:sz w:val="22"/>
              </w:rPr>
              <w:t>$446.5M</w:t>
            </w:r>
          </w:p>
        </w:tc>
        <w:tc>
          <w:tcPr>
            <w:tcW w:type="dxa" w:w="1234"/>
          </w:tcPr>
          <w:p>
            <w:r>
              <w:rPr>
                <w:rFonts w:ascii="Calibri" w:hAnsi="Calibri"/>
                <w:sz w:val="22"/>
              </w:rPr>
              <w:t>+0.9%</w:t>
            </w:r>
          </w:p>
        </w:tc>
        <w:tc>
          <w:tcPr>
            <w:tcW w:type="dxa" w:w="1234"/>
          </w:tcPr>
          <w:p>
            <w:r>
              <w:rPr>
                <w:rFonts w:ascii="Calibri" w:hAnsi="Calibri"/>
                <w:sz w:val="22"/>
              </w:rPr>
              <w:t>CP low-SD growth FY; Q2 low-SD (cyber impact)</w:t>
            </w:r>
          </w:p>
        </w:tc>
        <w:tc>
          <w:tcPr>
            <w:tcW w:type="dxa" w:w="1234"/>
          </w:tcPr>
          <w:p>
            <w:r>
              <w:rPr>
                <w:rFonts w:ascii="Calibri" w:hAnsi="Calibri"/>
                <w:sz w:val="22"/>
              </w:rPr>
              <w:t>Slightly above Q2 guidance midpoint</w:t>
            </w:r>
          </w:p>
        </w:tc>
      </w:tr>
      <w:tr>
        <w:tc>
          <w:tcPr>
            <w:tcW w:type="dxa" w:w="1234"/>
          </w:tcPr>
          <w:p>
            <w:r>
              <w:rPr>
                <w:rFonts w:ascii="Calibri" w:hAnsi="Calibri"/>
                <w:sz w:val="22"/>
              </w:rPr>
              <w:t>Adj. Operating Income ($M)</w:t>
            </w:r>
          </w:p>
        </w:tc>
        <w:tc>
          <w:tcPr>
            <w:tcW w:type="dxa" w:w="1234"/>
          </w:tcPr>
          <w:p>
            <w:r>
              <w:rPr>
                <w:rFonts w:ascii="Calibri" w:hAnsi="Calibri"/>
                <w:sz w:val="22"/>
              </w:rPr>
              <w:t>$287.0M</w:t>
            </w:r>
          </w:p>
        </w:tc>
        <w:tc>
          <w:tcPr>
            <w:tcW w:type="dxa" w:w="1234"/>
          </w:tcPr>
          <w:p>
            <w:r>
              <w:rPr>
                <w:rFonts w:ascii="Calibri" w:hAnsi="Calibri"/>
                <w:sz w:val="22"/>
              </w:rPr>
              <w:t>$247.1M</w:t>
            </w:r>
          </w:p>
        </w:tc>
        <w:tc>
          <w:tcPr>
            <w:tcW w:type="dxa" w:w="1234"/>
          </w:tcPr>
          <w:p>
            <w:r>
              <w:rPr>
                <w:rFonts w:ascii="Calibri" w:hAnsi="Calibri"/>
                <w:sz w:val="22"/>
              </w:rPr>
              <w:t>$253.0M</w:t>
            </w:r>
          </w:p>
        </w:tc>
        <w:tc>
          <w:tcPr>
            <w:tcW w:type="dxa" w:w="1234"/>
          </w:tcPr>
          <w:p>
            <w:r>
              <w:rPr>
                <w:rFonts w:ascii="Calibri" w:hAnsi="Calibri"/>
                <w:sz w:val="22"/>
              </w:rPr>
              <w:t>+2.4%</w:t>
            </w:r>
          </w:p>
        </w:tc>
        <w:tc>
          <w:tcPr>
            <w:tcW w:type="dxa" w:w="1234"/>
          </w:tcPr>
          <w:p>
            <w:r>
              <w:rPr>
                <w:rFonts w:ascii="Calibri" w:hAnsi="Calibri"/>
                <w:sz w:val="22"/>
              </w:rPr>
              <w:t>FY adj. op. margin 24–25%</w:t>
            </w:r>
          </w:p>
        </w:tc>
        <w:tc>
          <w:tcPr>
            <w:tcW w:type="dxa" w:w="1234"/>
          </w:tcPr>
          <w:p>
            <w:r>
              <w:rPr>
                <w:rFonts w:ascii="Calibri" w:hAnsi="Calibri"/>
                <w:sz w:val="22"/>
              </w:rPr>
              <w:t>Consistent with guidance range</w:t>
            </w:r>
          </w:p>
        </w:tc>
      </w:tr>
    </w:tbl>
    <w:p>
      <w:r>
        <w:rPr>
          <w:rFonts w:ascii="Calibri" w:hAnsi="Calibri"/>
          <w:i/>
          <w:color w:val="525866"/>
          <w:sz w:val="22"/>
        </w:rPr>
        <w:t>Source: Visible Alpha Consensus and Actuals Data. Q1 2026 Actual and Q2 2025 Actual are reported figures; Q2 2026 Consensus Estimates are current consensus as of July 20, 2026. Guidance references are from the Q1 2026 earnings call (May 20, 2026) and April 23, 2026 pre-announcement.</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Net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$1,281.3</w:t>
            </w:r>
          </w:p>
        </w:tc>
        <w:tc>
          <w:tcPr>
            <w:tcW w:type="dxa" w:w="1728"/>
          </w:tcPr>
          <w:p>
            <w:r>
              <w:rPr>
                <w:rFonts w:ascii="Calibri" w:hAnsi="Calibri"/>
                <w:sz w:val="22"/>
              </w:rPr>
              <w:t>$1,298.5</w:t>
            </w:r>
          </w:p>
        </w:tc>
        <w:tc>
          <w:tcPr>
            <w:tcW w:type="dxa" w:w="1728"/>
          </w:tcPr>
          <w:p>
            <w:r>
              <w:rPr>
                <w:rFonts w:ascii="Calibri" w:hAnsi="Calibri"/>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$1,281.3</w:t>
            </w:r>
          </w:p>
        </w:tc>
        <w:tc>
          <w:tcPr>
            <w:tcW w:type="dxa" w:w="1728"/>
          </w:tcPr>
          <w:p>
            <w:r>
              <w:rPr>
                <w:rFonts w:ascii="Calibri" w:hAnsi="Calibri"/>
                <w:sz w:val="22"/>
              </w:rPr>
              <w:t>$1,298.5</w:t>
            </w:r>
          </w:p>
        </w:tc>
        <w:tc>
          <w:tcPr>
            <w:tcW w:type="dxa" w:w="1728"/>
          </w:tcPr>
          <w:p>
            <w:r>
              <w:rPr>
                <w:rFonts w:ascii="Calibri" w:hAnsi="Calibri"/>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$1,101.6</w:t>
            </w:r>
          </w:p>
        </w:tc>
        <w:tc>
          <w:tcPr>
            <w:tcW w:type="dxa" w:w="1728"/>
          </w:tcPr>
          <w:p>
            <w:r>
              <w:rPr>
                <w:rFonts w:ascii="Calibri" w:hAnsi="Calibri"/>
                <w:sz w:val="22"/>
              </w:rPr>
              <w:t>$1,023.5</w:t>
            </w:r>
          </w:p>
        </w:tc>
        <w:tc>
          <w:tcPr>
            <w:tcW w:type="dxa" w:w="1728"/>
          </w:tcPr>
          <w:p>
            <w:r>
              <w:rPr>
                <w:rFonts w:ascii="Calibri" w:hAnsi="Calibri"/>
                <w:sz w:val="22"/>
              </w:rPr>
              <w:t>+7.6%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$887.1</w:t>
            </w:r>
          </w:p>
        </w:tc>
        <w:tc>
          <w:tcPr>
            <w:tcW w:type="dxa" w:w="1728"/>
          </w:tcPr>
          <w:p>
            <w:r>
              <w:rPr>
                <w:rFonts w:ascii="Calibri" w:hAnsi="Calibri"/>
                <w:sz w:val="22"/>
              </w:rPr>
              <w:t>$773.0</w:t>
            </w:r>
          </w:p>
        </w:tc>
        <w:tc>
          <w:tcPr>
            <w:tcW w:type="dxa" w:w="1728"/>
          </w:tcPr>
          <w:p>
            <w:r>
              <w:rPr>
                <w:rFonts w:ascii="Calibri" w:hAnsi="Calibri"/>
                <w:sz w:val="22"/>
              </w:rPr>
              <w:t>+14.8%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$980.8</w:t>
            </w:r>
          </w:p>
        </w:tc>
        <w:tc>
          <w:tcPr>
            <w:tcW w:type="dxa" w:w="1728"/>
          </w:tcPr>
          <w:p>
            <w:r>
              <w:rPr>
                <w:rFonts w:ascii="Calibri" w:hAnsi="Calibri"/>
                <w:sz w:val="22"/>
              </w:rPr>
              <w:t>$882.1</w:t>
            </w:r>
          </w:p>
        </w:tc>
        <w:tc>
          <w:tcPr>
            <w:tcW w:type="dxa" w:w="1728"/>
          </w:tcPr>
          <w:p>
            <w:r>
              <w:rPr>
                <w:rFonts w:ascii="Calibri" w:hAnsi="Calibri"/>
                <w:sz w:val="22"/>
              </w:rPr>
              <w:t>+11.2%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$1,387.5</w:t>
            </w:r>
          </w:p>
        </w:tc>
        <w:tc>
          <w:tcPr>
            <w:tcW w:type="dxa" w:w="1728"/>
          </w:tcPr>
          <w:p>
            <w:r>
              <w:rPr>
                <w:rFonts w:ascii="Calibri" w:hAnsi="Calibri"/>
                <w:sz w:val="22"/>
              </w:rPr>
              <w:t>$1,344.6</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$1,445.9</w:t>
            </w:r>
          </w:p>
        </w:tc>
        <w:tc>
          <w:tcPr>
            <w:tcW w:type="dxa" w:w="1728"/>
          </w:tcPr>
          <w:p>
            <w:r>
              <w:rPr>
                <w:rFonts w:ascii="Calibri" w:hAnsi="Calibri"/>
                <w:sz w:val="22"/>
              </w:rPr>
              <w:t>$1,263.9</w:t>
            </w:r>
          </w:p>
        </w:tc>
        <w:tc>
          <w:tcPr>
            <w:tcW w:type="dxa" w:w="1728"/>
          </w:tcPr>
          <w:p>
            <w:r>
              <w:rPr>
                <w:rFonts w:ascii="Calibri" w:hAnsi="Calibri"/>
                <w:sz w:val="22"/>
              </w:rPr>
              <w:t>+14.4%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$1,000.2</w:t>
            </w:r>
          </w:p>
        </w:tc>
        <w:tc>
          <w:tcPr>
            <w:tcW w:type="dxa" w:w="1728"/>
          </w:tcPr>
          <w:p>
            <w:r>
              <w:rPr>
                <w:rFonts w:ascii="Calibri" w:hAnsi="Calibri"/>
                <w:sz w:val="22"/>
              </w:rPr>
              <w:t>$963.9</w:t>
            </w:r>
          </w:p>
        </w:tc>
        <w:tc>
          <w:tcPr>
            <w:tcW w:type="dxa" w:w="1728"/>
          </w:tcPr>
          <w:p>
            <w:r>
              <w:rPr>
                <w:rFonts w:ascii="Calibri" w:hAnsi="Calibri"/>
                <w:sz w:val="22"/>
              </w:rPr>
              <w:t>+3.8%</w:t>
            </w:r>
          </w:p>
        </w:tc>
        <w:tc>
          <w:tcPr>
            <w:tcW w:type="dxa" w:w="1728"/>
          </w:tcPr>
          <w:p>
            <w:r>
              <w:rPr>
                <w:rFonts w:ascii="Calibri" w:hAnsi="Calibri"/>
                <w:b/>
                <w:color w:val="30A46C"/>
                <w:sz w:val="22"/>
              </w:rPr>
              <w:t>Beat</w:t>
            </w:r>
          </w:p>
        </w:tc>
      </w:tr>
    </w:tbl>
    <w:p>
      <w:pPr>
        <w:pStyle w:val="Heading4"/>
      </w:pPr>
      <w:r>
        <w:rPr>
          <w:rFonts w:ascii="Calibri" w:hAnsi="Calibri"/>
          <w:b/>
          <w:color w:val="3B4259"/>
          <w:sz w:val="22"/>
        </w:rPr>
        <w:t>Adj. EPS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$1.73</w:t>
            </w:r>
          </w:p>
        </w:tc>
        <w:tc>
          <w:tcPr>
            <w:tcW w:type="dxa" w:w="1728"/>
          </w:tcPr>
          <w:p>
            <w:r>
              <w:rPr>
                <w:rFonts w:ascii="Calibri" w:hAnsi="Calibri"/>
                <w:sz w:val="22"/>
              </w:rPr>
              <w:t>$1.28</w:t>
            </w:r>
          </w:p>
        </w:tc>
        <w:tc>
          <w:tcPr>
            <w:tcW w:type="dxa" w:w="1728"/>
          </w:tcPr>
          <w:p>
            <w:r>
              <w:rPr>
                <w:rFonts w:ascii="Calibri" w:hAnsi="Calibri"/>
                <w:sz w:val="22"/>
              </w:rPr>
              <w:t>+35.2%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$0.46</w:t>
            </w:r>
          </w:p>
        </w:tc>
        <w:tc>
          <w:tcPr>
            <w:tcW w:type="dxa" w:w="1728"/>
          </w:tcPr>
          <w:p>
            <w:r>
              <w:rPr>
                <w:rFonts w:ascii="Calibri" w:hAnsi="Calibri"/>
                <w:sz w:val="22"/>
              </w:rPr>
              <w:t>$0.34</w:t>
            </w:r>
          </w:p>
        </w:tc>
        <w:tc>
          <w:tcPr>
            <w:tcW w:type="dxa" w:w="1728"/>
          </w:tcPr>
          <w:p>
            <w:r>
              <w:rPr>
                <w:rFonts w:ascii="Calibri" w:hAnsi="Calibri"/>
                <w:sz w:val="22"/>
              </w:rPr>
              <w:t>+35.3%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$1.04</w:t>
            </w:r>
          </w:p>
        </w:tc>
        <w:tc>
          <w:tcPr>
            <w:tcW w:type="dxa" w:w="1728"/>
          </w:tcPr>
          <w:p>
            <w:r>
              <w:rPr>
                <w:rFonts w:ascii="Calibri" w:hAnsi="Calibri"/>
                <w:sz w:val="22"/>
              </w:rPr>
              <w:t>$0.68</w:t>
            </w:r>
          </w:p>
        </w:tc>
        <w:tc>
          <w:tcPr>
            <w:tcW w:type="dxa" w:w="1728"/>
          </w:tcPr>
          <w:p>
            <w:r>
              <w:rPr>
                <w:rFonts w:ascii="Calibri" w:hAnsi="Calibri"/>
                <w:sz w:val="22"/>
              </w:rPr>
              <w:t>+52.9%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$1.30</w:t>
            </w:r>
          </w:p>
        </w:tc>
        <w:tc>
          <w:tcPr>
            <w:tcW w:type="dxa" w:w="1728"/>
          </w:tcPr>
          <w:p>
            <w:r>
              <w:rPr>
                <w:rFonts w:ascii="Calibri" w:hAnsi="Calibri"/>
                <w:sz w:val="22"/>
              </w:rPr>
              <w:t>$0.76</w:t>
            </w:r>
          </w:p>
        </w:tc>
        <w:tc>
          <w:tcPr>
            <w:tcW w:type="dxa" w:w="1728"/>
          </w:tcPr>
          <w:p>
            <w:r>
              <w:rPr>
                <w:rFonts w:ascii="Calibri" w:hAnsi="Calibri"/>
                <w:sz w:val="22"/>
              </w:rPr>
              <w:t>+70.5%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$1.68</w:t>
            </w:r>
          </w:p>
        </w:tc>
        <w:tc>
          <w:tcPr>
            <w:tcW w:type="dxa" w:w="1728"/>
          </w:tcPr>
          <w:p>
            <w:r>
              <w:rPr>
                <w:rFonts w:ascii="Calibri" w:hAnsi="Calibri"/>
                <w:sz w:val="22"/>
              </w:rPr>
              <w:t>$1.64</w:t>
            </w:r>
          </w:p>
        </w:tc>
        <w:tc>
          <w:tcPr>
            <w:tcW w:type="dxa" w:w="1728"/>
          </w:tcPr>
          <w:p>
            <w:r>
              <w:rPr>
                <w:rFonts w:ascii="Calibri" w:hAnsi="Calibri"/>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$1.51</w:t>
            </w:r>
          </w:p>
        </w:tc>
        <w:tc>
          <w:tcPr>
            <w:tcW w:type="dxa" w:w="1728"/>
          </w:tcPr>
          <w:p>
            <w:r>
              <w:rPr>
                <w:rFonts w:ascii="Calibri" w:hAnsi="Calibri"/>
                <w:sz w:val="22"/>
              </w:rPr>
              <w:t>$0.95</w:t>
            </w:r>
          </w:p>
        </w:tc>
        <w:tc>
          <w:tcPr>
            <w:tcW w:type="dxa" w:w="1728"/>
          </w:tcPr>
          <w:p>
            <w:r>
              <w:rPr>
                <w:rFonts w:ascii="Calibri" w:hAnsi="Calibri"/>
                <w:sz w:val="22"/>
              </w:rPr>
              <w:t>+58.9%</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$1.47</w:t>
            </w:r>
          </w:p>
        </w:tc>
        <w:tc>
          <w:tcPr>
            <w:tcW w:type="dxa" w:w="1728"/>
          </w:tcPr>
          <w:p>
            <w:r>
              <w:rPr>
                <w:rFonts w:ascii="Calibri" w:hAnsi="Calibri"/>
                <w:sz w:val="22"/>
              </w:rPr>
              <w:t>$1.14</w:t>
            </w:r>
          </w:p>
        </w:tc>
        <w:tc>
          <w:tcPr>
            <w:tcW w:type="dxa" w:w="1728"/>
          </w:tcPr>
          <w:p>
            <w:r>
              <w:rPr>
                <w:rFonts w:ascii="Calibri" w:hAnsi="Calibri"/>
                <w:sz w:val="22"/>
              </w:rPr>
              <w:t>+29.0%</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HAS has beaten adj. EPS consensus in every reported quarter shown, often by very wide margins (30–70%+), reflecting a consistent Street tendency to under-model Wizards/Magic upside; revenue beats have been more moderate but consistent over the last six quarters.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has been </w:t>
      </w:r>
      <w:r>
        <w:rPr>
          <w:rFonts w:ascii="Calibri" w:hAnsi="Calibri"/>
          <w:b/>
          <w:color w:val="525866"/>
          <w:sz w:val="22"/>
        </w:rPr>
        <w:t>reiterated twice since Q4 2025 earnings</w:t>
      </w:r>
      <w:r>
        <w:rPr>
          <w:rFonts w:ascii="Calibri" w:hAnsi="Calibri"/>
          <w:color w:val="525866"/>
          <w:sz w:val="22"/>
        </w:rPr>
        <w:t xml:space="preserve"> (April 23 pre-announcement and May 20 Q1 call) with no changes to the headline numbers; the only evolution is the explicit quantification of the cyber incident's Q2-to-Q3 revenue timing shift (~$40–60M) and the flagging of ~$30M oil-related input cost headwinds in the back half, both of which are embedded in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 Q1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Growth (CC)</w:t>
            </w:r>
          </w:p>
        </w:tc>
        <w:tc>
          <w:tcPr>
            <w:tcW w:type="dxa" w:w="1728"/>
          </w:tcPr>
          <w:p>
            <w:r>
              <w:rPr>
                <w:rFonts w:ascii="Calibri" w:hAnsi="Calibri"/>
                <w:sz w:val="22"/>
              </w:rPr>
              <w:t>+3% to +5% constant currency</w:t>
            </w:r>
          </w:p>
        </w:tc>
        <w:tc>
          <w:tcPr>
            <w:tcW w:type="dxa" w:w="1728"/>
          </w:tcPr>
          <w:p>
            <w:r>
              <w:rPr>
                <w:rFonts w:ascii="Calibri" w:hAnsi="Calibri"/>
                <w:sz w:val="22"/>
              </w:rPr>
              <w:t>—</w:t>
            </w:r>
          </w:p>
        </w:tc>
        <w:tc>
          <w:tcPr>
            <w:tcW w:type="dxa" w:w="1728"/>
          </w:tcPr>
          <w:p>
            <w:r>
              <w:rPr>
                <w:rFonts w:ascii="Calibri" w:hAnsi="Calibri"/>
                <w:sz w:val="22"/>
              </w:rPr>
              <w:t>~+4% implied by $4.99B FY consensus</w:t>
            </w:r>
          </w:p>
        </w:tc>
        <w:tc>
          <w:tcPr>
            <w:tcW w:type="dxa" w:w="1728"/>
          </w:tcPr>
          <w:p>
            <w:r>
              <w:rPr>
                <w:rFonts w:ascii="Calibri" w:hAnsi="Calibri"/>
                <w:sz w:val="22"/>
              </w:rPr>
              <w:t>Reiterated Apr 23 &amp; May 20; unchanged</w:t>
            </w:r>
          </w:p>
        </w:tc>
      </w:tr>
      <w:tr>
        <w:tc>
          <w:tcPr>
            <w:tcW w:type="dxa" w:w="1728"/>
          </w:tcPr>
          <w:p>
            <w:r>
              <w:rPr>
                <w:rFonts w:ascii="Calibri" w:hAnsi="Calibri"/>
                <w:sz w:val="22"/>
              </w:rPr>
              <w:t>Adj. Operating Margin</w:t>
            </w:r>
          </w:p>
        </w:tc>
        <w:tc>
          <w:tcPr>
            <w:tcW w:type="dxa" w:w="1728"/>
          </w:tcPr>
          <w:p>
            <w:r>
              <w:rPr>
                <w:rFonts w:ascii="Calibri" w:hAnsi="Calibri"/>
                <w:sz w:val="22"/>
              </w:rPr>
              <w:t>24% to 25%</w:t>
            </w:r>
          </w:p>
        </w:tc>
        <w:tc>
          <w:tcPr>
            <w:tcW w:type="dxa" w:w="1728"/>
          </w:tcPr>
          <w:p>
            <w:r>
              <w:rPr>
                <w:rFonts w:ascii="Calibri" w:hAnsi="Calibri"/>
                <w:sz w:val="22"/>
              </w:rPr>
              <w:t>—</w:t>
            </w:r>
          </w:p>
        </w:tc>
        <w:tc>
          <w:tcPr>
            <w:tcW w:type="dxa" w:w="1728"/>
          </w:tcPr>
          <w:p>
            <w:r>
              <w:rPr>
                <w:rFonts w:ascii="Calibri" w:hAnsi="Calibri"/>
                <w:sz w:val="22"/>
              </w:rPr>
              <w:t>~24.9% implied by consensus</w:t>
            </w:r>
          </w:p>
        </w:tc>
        <w:tc>
          <w:tcPr>
            <w:tcW w:type="dxa" w:w="1728"/>
          </w:tcPr>
          <w:p>
            <w:r>
              <w:rPr>
                <w:rFonts w:ascii="Calibri" w:hAnsi="Calibri"/>
                <w:sz w:val="22"/>
              </w:rPr>
              <w:t>Reiterated Apr 23 &amp; May 20; unchanged</w:t>
            </w:r>
          </w:p>
        </w:tc>
      </w:tr>
      <w:tr>
        <w:tc>
          <w:tcPr>
            <w:tcW w:type="dxa" w:w="1728"/>
          </w:tcPr>
          <w:p>
            <w:r>
              <w:rPr>
                <w:rFonts w:ascii="Calibri" w:hAnsi="Calibri"/>
                <w:sz w:val="22"/>
              </w:rPr>
              <w:t>Adj. EBITDA</w:t>
            </w:r>
          </w:p>
        </w:tc>
        <w:tc>
          <w:tcPr>
            <w:tcW w:type="dxa" w:w="1728"/>
          </w:tcPr>
          <w:p>
            <w:r>
              <w:rPr>
                <w:rFonts w:ascii="Calibri" w:hAnsi="Calibri"/>
                <w:sz w:val="22"/>
              </w:rPr>
              <w:t>$1.40B to $1.45B</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Reiterated Apr 23 &amp; May 20; unchanged</w:t>
            </w:r>
          </w:p>
        </w:tc>
      </w:tr>
      <w:tr>
        <w:tc>
          <w:tcPr>
            <w:tcW w:type="dxa" w:w="1728"/>
          </w:tcPr>
          <w:p>
            <w:r>
              <w:rPr>
                <w:rFonts w:ascii="Calibri" w:hAnsi="Calibri"/>
                <w:sz w:val="22"/>
              </w:rPr>
              <w:t>Wizards Segment Revenue Growth</w:t>
            </w:r>
          </w:p>
        </w:tc>
        <w:tc>
          <w:tcPr>
            <w:tcW w:type="dxa" w:w="1728"/>
          </w:tcPr>
          <w:p>
            <w:r>
              <w:rPr>
                <w:rFonts w:ascii="Calibri" w:hAnsi="Calibri"/>
                <w:sz w:val="22"/>
              </w:rPr>
              <w:t>Mid-single digit FY; Q2 "quite robust"</w:t>
            </w:r>
          </w:p>
        </w:tc>
        <w:tc>
          <w:tcPr>
            <w:tcW w:type="dxa" w:w="1728"/>
          </w:tcPr>
          <w:p>
            <w:r>
              <w:rPr>
                <w:rFonts w:ascii="Calibri" w:hAnsi="Calibri"/>
                <w:sz w:val="22"/>
              </w:rPr>
              <w:t>—</w:t>
            </w:r>
          </w:p>
        </w:tc>
        <w:tc>
          <w:tcPr>
            <w:tcW w:type="dxa" w:w="1728"/>
          </w:tcPr>
          <w:p>
            <w:r>
              <w:rPr>
                <w:rFonts w:ascii="Calibri" w:hAnsi="Calibri"/>
                <w:sz w:val="22"/>
              </w:rPr>
              <w:t>~+16% YoY Q2 consensus; FY $1.81B</w:t>
            </w:r>
          </w:p>
        </w:tc>
        <w:tc>
          <w:tcPr>
            <w:tcW w:type="dxa" w:w="1728"/>
          </w:tcPr>
          <w:p>
            <w:r>
              <w:rPr>
                <w:rFonts w:ascii="Calibri" w:hAnsi="Calibri"/>
                <w:sz w:val="22"/>
              </w:rPr>
              <w:t>Q2 guided strong; back half moderating; Q4 may be down on tough comps</w:t>
            </w:r>
          </w:p>
        </w:tc>
      </w:tr>
      <w:tr>
        <w:tc>
          <w:tcPr>
            <w:tcW w:type="dxa" w:w="1728"/>
          </w:tcPr>
          <w:p>
            <w:r>
              <w:rPr>
                <w:rFonts w:ascii="Calibri" w:hAnsi="Calibri"/>
                <w:sz w:val="22"/>
              </w:rPr>
              <w:t>Wizards Operating Margin</w:t>
            </w:r>
          </w:p>
        </w:tc>
        <w:tc>
          <w:tcPr>
            <w:tcW w:type="dxa" w:w="1728"/>
          </w:tcPr>
          <w:p>
            <w:r>
              <w:rPr>
                <w:rFonts w:ascii="Calibri" w:hAnsi="Calibri"/>
                <w:sz w:val="22"/>
              </w:rPr>
              <w:t>Low-40% range FY</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Unchanged; high-royalty UB sets create mix headwind vs. owned IP</w:t>
            </w:r>
          </w:p>
        </w:tc>
      </w:tr>
      <w:tr>
        <w:tc>
          <w:tcPr>
            <w:tcW w:type="dxa" w:w="1728"/>
          </w:tcPr>
          <w:p>
            <w:r>
              <w:rPr>
                <w:rFonts w:ascii="Calibri" w:hAnsi="Calibri"/>
                <w:sz w:val="22"/>
              </w:rPr>
              <w:t>Consumer Products Revenue Growth</w:t>
            </w:r>
          </w:p>
        </w:tc>
        <w:tc>
          <w:tcPr>
            <w:tcW w:type="dxa" w:w="1728"/>
          </w:tcPr>
          <w:p>
            <w:r>
              <w:rPr>
                <w:rFonts w:ascii="Calibri" w:hAnsi="Calibri"/>
                <w:sz w:val="22"/>
              </w:rPr>
              <w:t>Low-SD FY; Q2 low-SD (cyber impact)</w:t>
            </w:r>
          </w:p>
        </w:tc>
        <w:tc>
          <w:tcPr>
            <w:tcW w:type="dxa" w:w="1728"/>
          </w:tcPr>
          <w:p>
            <w:r>
              <w:rPr>
                <w:rFonts w:ascii="Calibri" w:hAnsi="Calibri"/>
                <w:sz w:val="22"/>
              </w:rPr>
              <w:t>—</w:t>
            </w:r>
          </w:p>
        </w:tc>
        <w:tc>
          <w:tcPr>
            <w:tcW w:type="dxa" w:w="1728"/>
          </w:tcPr>
          <w:p>
            <w:r>
              <w:rPr>
                <w:rFonts w:ascii="Calibri" w:hAnsi="Calibri"/>
                <w:sz w:val="22"/>
              </w:rPr>
              <w:t>~+0.9% YoY Q2 consensus; FY $2.53B</w:t>
            </w:r>
          </w:p>
        </w:tc>
        <w:tc>
          <w:tcPr>
            <w:tcW w:type="dxa" w:w="1728"/>
          </w:tcPr>
          <w:p>
            <w:r>
              <w:rPr>
                <w:rFonts w:ascii="Calibri" w:hAnsi="Calibri"/>
                <w:sz w:val="22"/>
              </w:rPr>
              <w:t>↓ Q2 lowered from low-DD to low-SD due to cyber; $40–60M shifts to Q3</w:t>
            </w:r>
          </w:p>
        </w:tc>
      </w:tr>
      <w:tr>
        <w:tc>
          <w:tcPr>
            <w:tcW w:type="dxa" w:w="1728"/>
          </w:tcPr>
          <w:p>
            <w:r>
              <w:rPr>
                <w:rFonts w:ascii="Calibri" w:hAnsi="Calibri"/>
                <w:sz w:val="22"/>
              </w:rPr>
              <w:t>Consumer Products Adj. Op. Margin</w:t>
            </w:r>
          </w:p>
        </w:tc>
        <w:tc>
          <w:tcPr>
            <w:tcW w:type="dxa" w:w="1728"/>
          </w:tcPr>
          <w:p>
            <w:r>
              <w:rPr>
                <w:rFonts w:ascii="Calibri" w:hAnsi="Calibri"/>
                <w:sz w:val="22"/>
              </w:rPr>
              <w:t>6% to 8% FY</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Oil headwind (~$30M) offset by tariff favorability (~$15M good guy) and freight optimization</w:t>
            </w:r>
          </w:p>
        </w:tc>
      </w:tr>
      <w:tr>
        <w:tc>
          <w:tcPr>
            <w:tcW w:type="dxa" w:w="1728"/>
          </w:tcPr>
          <w:p>
            <w:r>
              <w:rPr>
                <w:rFonts w:ascii="Calibri" w:hAnsi="Calibri"/>
                <w:sz w:val="22"/>
              </w:rPr>
              <w:t>Cyber Incident Costs</w:t>
            </w:r>
          </w:p>
        </w:tc>
        <w:tc>
          <w:tcPr>
            <w:tcW w:type="dxa" w:w="1728"/>
          </w:tcPr>
          <w:p>
            <w:r>
              <w:rPr>
                <w:rFonts w:ascii="Calibri" w:hAnsi="Calibri"/>
                <w:sz w:val="22"/>
              </w:rPr>
              <w:t>~$20M one-time remediation opex (not in adj. EBITDA)</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New disclosure May 20; systems back online by June; embedded in guidance</w:t>
            </w:r>
          </w:p>
        </w:tc>
      </w:tr>
    </w:tbl>
    <w:p>
      <w:r>
        <w:rPr>
          <w:rFonts w:ascii="Calibri" w:hAnsi="Calibri"/>
          <w:i/>
          <w:color w:val="525866"/>
          <w:sz w:val="22"/>
        </w:rPr>
        <w:t>Source: Hasbro Q1 2026 Earnings Call (May 20, 2026); April 23, 2026 Pre-Announcement (8-K);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estimates have drifted ~7% lower since the Q1 print on adj. EPS (from ~$1.13 to ~$1.05) as the Street absorbed the cyber-driven CP revenue shift and oil cost headwinds, but </w:t>
      </w:r>
      <w:r>
        <w:rPr>
          <w:rFonts w:ascii="Calibri" w:hAnsi="Calibri"/>
          <w:b/>
          <w:color w:val="525866"/>
          <w:sz w:val="22"/>
        </w:rPr>
        <w:t>full-year estimates are essentially flat</w:t>
      </w:r>
      <w:r>
        <w:rPr>
          <w:rFonts w:ascii="Calibri" w:hAnsi="Calibri"/>
          <w:color w:val="525866"/>
          <w:sz w:val="22"/>
        </w:rPr>
        <w:t>, confirming the market views Q2 softness as a timing issue rather than a structural demand problem; the gap between current consensus and guidance is narrow, leaving limited room for a negative surprise on the full year.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May 28, 2026)</w:t>
            </w:r>
          </w:p>
        </w:tc>
        <w:tc>
          <w:tcPr>
            <w:tcW w:type="dxa" w:w="1080"/>
            <w:shd w:val="clear" w:color="auto" w:fill="3B4259"/>
          </w:tcPr>
          <w:p>
            <w:r>
              <w:rPr>
                <w:rFonts w:ascii="Calibri" w:hAnsi="Calibri"/>
                <w:b/>
                <w:color w:val="FFFFFF"/>
                <w:sz w:val="22"/>
              </w:rPr>
              <w:t>Current Consensus (July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Q2 2026</w:t>
            </w:r>
          </w:p>
        </w:tc>
        <w:tc>
          <w:tcPr>
            <w:tcW w:type="dxa" w:w="1080"/>
          </w:tcPr>
          <w:p>
            <w:r>
              <w:rPr>
                <w:rFonts w:ascii="Calibri" w:hAnsi="Calibri"/>
                <w:sz w:val="22"/>
              </w:rPr>
              <w:t>$1,059.4M</w:t>
            </w:r>
          </w:p>
        </w:tc>
        <w:tc>
          <w:tcPr>
            <w:tcW w:type="dxa" w:w="1080"/>
          </w:tcPr>
          <w:p>
            <w:r>
              <w:rPr>
                <w:rFonts w:ascii="Calibri" w:hAnsi="Calibri"/>
                <w:sz w:val="22"/>
              </w:rPr>
              <w:t>$1,069.3M</w:t>
            </w:r>
          </w:p>
        </w:tc>
        <w:tc>
          <w:tcPr>
            <w:tcW w:type="dxa" w:w="1080"/>
          </w:tcPr>
          <w:p>
            <w:r>
              <w:rPr>
                <w:rFonts w:ascii="Calibri" w:hAnsi="Calibri"/>
                <w:sz w:val="22"/>
              </w:rPr>
              <w:t>+0.9%</w:t>
            </w:r>
          </w:p>
        </w:tc>
        <w:tc>
          <w:tcPr>
            <w:tcW w:type="dxa" w:w="1080"/>
          </w:tcPr>
          <w:p>
            <w:r>
              <w:rPr>
                <w:rFonts w:ascii="Calibri" w:hAnsi="Calibri"/>
                <w:sz w:val="22"/>
              </w:rPr>
              <w:t>Low-SD CP growth; Wizards robust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On track</w:t>
            </w:r>
          </w:p>
        </w:tc>
      </w:tr>
      <w:tr>
        <w:tc>
          <w:tcPr>
            <w:tcW w:type="dxa" w:w="1080"/>
          </w:tcPr>
          <w:p>
            <w:r>
              <w:rPr>
                <w:rFonts w:ascii="Calibri" w:hAnsi="Calibri"/>
                <w:sz w:val="22"/>
              </w:rPr>
              <w:t>Net Revenue — FY 2026</w:t>
            </w:r>
          </w:p>
        </w:tc>
        <w:tc>
          <w:tcPr>
            <w:tcW w:type="dxa" w:w="1080"/>
          </w:tcPr>
          <w:p>
            <w:r>
              <w:rPr>
                <w:rFonts w:ascii="Calibri" w:hAnsi="Calibri"/>
                <w:sz w:val="22"/>
              </w:rPr>
              <w:t>$4,991.9M</w:t>
            </w:r>
          </w:p>
        </w:tc>
        <w:tc>
          <w:tcPr>
            <w:tcW w:type="dxa" w:w="1080"/>
          </w:tcPr>
          <w:p>
            <w:r>
              <w:rPr>
                <w:rFonts w:ascii="Calibri" w:hAnsi="Calibri"/>
                <w:sz w:val="22"/>
              </w:rPr>
              <w:t>$4,992.5M</w:t>
            </w:r>
          </w:p>
        </w:tc>
        <w:tc>
          <w:tcPr>
            <w:tcW w:type="dxa" w:w="1080"/>
          </w:tcPr>
          <w:p>
            <w:r>
              <w:rPr>
                <w:rFonts w:ascii="Calibri" w:hAnsi="Calibri"/>
                <w:sz w:val="22"/>
              </w:rPr>
              <w:t>~0.0%</w:t>
            </w:r>
          </w:p>
        </w:tc>
        <w:tc>
          <w:tcPr>
            <w:tcW w:type="dxa" w:w="1080"/>
          </w:tcPr>
          <w:p>
            <w:r>
              <w:rPr>
                <w:rFonts w:ascii="Calibri" w:hAnsi="Calibri"/>
                <w:sz w:val="22"/>
              </w:rPr>
              <w:t>+3–5% CC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 implied; within range</w:t>
            </w:r>
          </w:p>
        </w:tc>
      </w:tr>
      <w:tr>
        <w:tc>
          <w:tcPr>
            <w:tcW w:type="dxa" w:w="1080"/>
          </w:tcPr>
          <w:p>
            <w:r>
              <w:rPr>
                <w:rFonts w:ascii="Calibri" w:hAnsi="Calibri"/>
                <w:sz w:val="22"/>
              </w:rPr>
              <w:t>Adj. EPS — Q2 2026</w:t>
            </w:r>
          </w:p>
        </w:tc>
        <w:tc>
          <w:tcPr>
            <w:tcW w:type="dxa" w:w="1080"/>
          </w:tcPr>
          <w:p>
            <w:r>
              <w:rPr>
                <w:rFonts w:ascii="Calibri" w:hAnsi="Calibri"/>
                <w:sz w:val="22"/>
              </w:rPr>
              <w:t>$1.131</w:t>
            </w:r>
          </w:p>
        </w:tc>
        <w:tc>
          <w:tcPr>
            <w:tcW w:type="dxa" w:w="1080"/>
          </w:tcPr>
          <w:p>
            <w:r>
              <w:rPr>
                <w:rFonts w:ascii="Calibri" w:hAnsi="Calibri"/>
                <w:sz w:val="22"/>
              </w:rPr>
              <w:t>$1.055</w:t>
            </w:r>
          </w:p>
        </w:tc>
        <w:tc>
          <w:tcPr>
            <w:tcW w:type="dxa" w:w="1080"/>
          </w:tcPr>
          <w:p>
            <w:r>
              <w:rPr>
                <w:rFonts w:ascii="Calibri" w:hAnsi="Calibri"/>
                <w:sz w:val="22"/>
              </w:rPr>
              <w:t>−6.7%</w:t>
            </w:r>
          </w:p>
        </w:tc>
        <w:tc>
          <w:tcPr>
            <w:tcW w:type="dxa" w:w="1080"/>
          </w:tcPr>
          <w:p>
            <w:r>
              <w:rPr>
                <w:rFonts w:ascii="Calibri" w:hAnsi="Calibri"/>
                <w:sz w:val="22"/>
              </w:rPr>
              <w:t>Adj. op. margin 24–25%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Q2 below FY run-rate; back-half weighted</w:t>
            </w:r>
          </w:p>
        </w:tc>
      </w:tr>
      <w:tr>
        <w:tc>
          <w:tcPr>
            <w:tcW w:type="dxa" w:w="1080"/>
          </w:tcPr>
          <w:p>
            <w:r>
              <w:rPr>
                <w:rFonts w:ascii="Calibri" w:hAnsi="Calibri"/>
                <w:sz w:val="22"/>
              </w:rPr>
              <w:t>Adj. EPS — FY 2026</w:t>
            </w:r>
          </w:p>
        </w:tc>
        <w:tc>
          <w:tcPr>
            <w:tcW w:type="dxa" w:w="1080"/>
          </w:tcPr>
          <w:p>
            <w:r>
              <w:rPr>
                <w:rFonts w:ascii="Calibri" w:hAnsi="Calibri"/>
                <w:sz w:val="22"/>
              </w:rPr>
              <w:t>$6.030</w:t>
            </w:r>
          </w:p>
        </w:tc>
        <w:tc>
          <w:tcPr>
            <w:tcW w:type="dxa" w:w="1080"/>
          </w:tcPr>
          <w:p>
            <w:r>
              <w:rPr>
                <w:rFonts w:ascii="Calibri" w:hAnsi="Calibri"/>
                <w:sz w:val="22"/>
              </w:rPr>
              <w:t>$5.989</w:t>
            </w:r>
          </w:p>
        </w:tc>
        <w:tc>
          <w:tcPr>
            <w:tcW w:type="dxa" w:w="1080"/>
          </w:tcPr>
          <w:p>
            <w:r>
              <w:rPr>
                <w:rFonts w:ascii="Calibri" w:hAnsi="Calibri"/>
                <w:sz w:val="22"/>
              </w:rPr>
              <w:t>−0.7%</w:t>
            </w:r>
          </w:p>
        </w:tc>
        <w:tc>
          <w:tcPr>
            <w:tcW w:type="dxa" w:w="1080"/>
          </w:tcPr>
          <w:p>
            <w:r>
              <w:rPr>
                <w:rFonts w:ascii="Calibri" w:hAnsi="Calibri"/>
                <w:sz w:val="22"/>
              </w:rPr>
              <w:t>Adj. op. margin 24–25%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Essentially flat; guidance intact</w:t>
            </w:r>
          </w:p>
        </w:tc>
      </w:tr>
      <w:tr>
        <w:tc>
          <w:tcPr>
            <w:tcW w:type="dxa" w:w="1080"/>
          </w:tcPr>
          <w:p>
            <w:r>
              <w:rPr>
                <w:rFonts w:ascii="Calibri" w:hAnsi="Calibri"/>
                <w:sz w:val="22"/>
              </w:rPr>
              <w:t>Magic Revenue — Q2 2026</w:t>
            </w:r>
          </w:p>
        </w:tc>
        <w:tc>
          <w:tcPr>
            <w:tcW w:type="dxa" w:w="1080"/>
          </w:tcPr>
          <w:p>
            <w:r>
              <w:rPr>
                <w:rFonts w:ascii="Calibri" w:hAnsi="Calibri"/>
                <w:sz w:val="22"/>
              </w:rPr>
              <w:t>$464.9M</w:t>
            </w:r>
          </w:p>
        </w:tc>
        <w:tc>
          <w:tcPr>
            <w:tcW w:type="dxa" w:w="1080"/>
          </w:tcPr>
          <w:p>
            <w:r>
              <w:rPr>
                <w:rFonts w:ascii="Calibri" w:hAnsi="Calibri"/>
                <w:sz w:val="22"/>
              </w:rPr>
              <w:t>$478.9M</w:t>
            </w:r>
          </w:p>
        </w:tc>
        <w:tc>
          <w:tcPr>
            <w:tcW w:type="dxa" w:w="1080"/>
          </w:tcPr>
          <w:p>
            <w:r>
              <w:rPr>
                <w:rFonts w:ascii="Calibri" w:hAnsi="Calibri"/>
                <w:sz w:val="22"/>
              </w:rPr>
              <w:t>+3.0%</w:t>
            </w:r>
          </w:p>
        </w:tc>
        <w:tc>
          <w:tcPr>
            <w:tcW w:type="dxa" w:w="1080"/>
          </w:tcPr>
          <w:p>
            <w:r>
              <w:rPr>
                <w:rFonts w:ascii="Calibri" w:hAnsi="Calibri"/>
                <w:sz w:val="22"/>
              </w:rPr>
              <w:t>Wizards mid-SD FY; Q2 "quite robust"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Estimates moving up; mgmt. commentary bullish</w:t>
            </w:r>
          </w:p>
        </w:tc>
      </w:tr>
      <w:tr>
        <w:tc>
          <w:tcPr>
            <w:tcW w:type="dxa" w:w="1080"/>
          </w:tcPr>
          <w:p>
            <w:r>
              <w:rPr>
                <w:rFonts w:ascii="Calibri" w:hAnsi="Calibri"/>
                <w:sz w:val="22"/>
              </w:rPr>
              <w:t>Magic Revenue — FY 2026</w:t>
            </w:r>
          </w:p>
        </w:tc>
        <w:tc>
          <w:tcPr>
            <w:tcW w:type="dxa" w:w="1080"/>
          </w:tcPr>
          <w:p>
            <w:r>
              <w:rPr>
                <w:rFonts w:ascii="Calibri" w:hAnsi="Calibri"/>
                <w:sz w:val="22"/>
              </w:rPr>
              <w:t>$1,723.7M</w:t>
            </w:r>
          </w:p>
        </w:tc>
        <w:tc>
          <w:tcPr>
            <w:tcW w:type="dxa" w:w="1080"/>
          </w:tcPr>
          <w:p>
            <w:r>
              <w:rPr>
                <w:rFonts w:ascii="Calibri" w:hAnsi="Calibri"/>
                <w:sz w:val="22"/>
              </w:rPr>
              <w:t>$1,807.8M</w:t>
            </w:r>
          </w:p>
        </w:tc>
        <w:tc>
          <w:tcPr>
            <w:tcW w:type="dxa" w:w="1080"/>
          </w:tcPr>
          <w:p>
            <w:r>
              <w:rPr>
                <w:rFonts w:ascii="Calibri" w:hAnsi="Calibri"/>
                <w:sz w:val="22"/>
              </w:rPr>
              <w:t>+4.9%</w:t>
            </w:r>
          </w:p>
        </w:tc>
        <w:tc>
          <w:tcPr>
            <w:tcW w:type="dxa" w:w="1080"/>
          </w:tcPr>
          <w:p>
            <w:r>
              <w:rPr>
                <w:rFonts w:ascii="Calibri" w:hAnsi="Calibri"/>
                <w:sz w:val="22"/>
              </w:rPr>
              <w:t>Wizards mid-SD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Estimates rising; Street gaining confidence in Magic durability</w:t>
            </w:r>
          </w:p>
        </w:tc>
      </w:tr>
      <w:tr>
        <w:tc>
          <w:tcPr>
            <w:tcW w:type="dxa" w:w="1080"/>
          </w:tcPr>
          <w:p>
            <w:r>
              <w:rPr>
                <w:rFonts w:ascii="Calibri" w:hAnsi="Calibri"/>
                <w:sz w:val="22"/>
              </w:rPr>
              <w:t>Consumer Products Revenue — Q2 2026</w:t>
            </w:r>
          </w:p>
        </w:tc>
        <w:tc>
          <w:tcPr>
            <w:tcW w:type="dxa" w:w="1080"/>
          </w:tcPr>
          <w:p>
            <w:r>
              <w:rPr>
                <w:rFonts w:ascii="Calibri" w:hAnsi="Calibri"/>
                <w:sz w:val="22"/>
              </w:rPr>
              <w:t>$447.5M</w:t>
            </w:r>
          </w:p>
        </w:tc>
        <w:tc>
          <w:tcPr>
            <w:tcW w:type="dxa" w:w="1080"/>
          </w:tcPr>
          <w:p>
            <w:r>
              <w:rPr>
                <w:rFonts w:ascii="Calibri" w:hAnsi="Calibri"/>
                <w:sz w:val="22"/>
              </w:rPr>
              <w:t>$446.5M</w:t>
            </w:r>
          </w:p>
        </w:tc>
        <w:tc>
          <w:tcPr>
            <w:tcW w:type="dxa" w:w="1080"/>
          </w:tcPr>
          <w:p>
            <w:r>
              <w:rPr>
                <w:rFonts w:ascii="Calibri" w:hAnsi="Calibri"/>
                <w:sz w:val="22"/>
              </w:rPr>
              <w:t>−0.2%</w:t>
            </w:r>
          </w:p>
        </w:tc>
        <w:tc>
          <w:tcPr>
            <w:tcW w:type="dxa" w:w="1080"/>
          </w:tcPr>
          <w:p>
            <w:r>
              <w:rPr>
                <w:rFonts w:ascii="Calibri" w:hAnsi="Calibri"/>
                <w:sz w:val="22"/>
              </w:rPr>
              <w:t>CP low-SD FY; Q2 low-SD (cyber)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Stable; cyber impact already in estimates</w:t>
            </w:r>
          </w:p>
        </w:tc>
      </w:tr>
    </w:tbl>
    <w:p>
      <w:r>
        <w:rPr>
          <w:rFonts w:ascii="Calibri" w:hAnsi="Calibri"/>
          <w:i/>
          <w:color w:val="525866"/>
          <w:sz w:val="22"/>
        </w:rPr>
        <w:t>Source: Visible Alpha Consensus and Actuals Data. Post-Q1 baseline uses consensus as of approximately May 28, 2026 (5 trading days after May 20, 2026 earnings). Current consensus as of July 20, 2026. Guidance from Q1 2026 Earnings Call (May 20, 2026) and April 23, 2026 pre-announcement.</w:t>
      </w:r>
    </w:p>
    <w:p>
      <w:r>
        <w:rPr>
          <w:rFonts w:ascii="Calibri" w:hAnsi="Calibri"/>
          <w:color w:val="525866"/>
          <w:sz w:val="22"/>
        </w:rPr>
        <w:t xml:space="preserve">The most notable revision dynamic is the </w:t>
      </w:r>
      <w:r>
        <w:rPr>
          <w:rFonts w:ascii="Calibri" w:hAnsi="Calibri"/>
          <w:b/>
          <w:color w:val="525866"/>
          <w:sz w:val="22"/>
        </w:rPr>
        <w:t>divergence between Q2 adj. EPS (down ~7%) and FY adj. EPS (essentially flat)</w:t>
      </w:r>
      <w:r>
        <w:rPr>
          <w:rFonts w:ascii="Calibri" w:hAnsi="Calibri"/>
          <w:color w:val="525866"/>
          <w:sz w:val="22"/>
        </w:rPr>
        <w:t xml:space="preserve">: the Street has absorbed the cyber-driven Q2 headwind without cutting the full year, which is consistent with management's framing of the incident as a pure timing shift. Magic FY estimates have actually </w:t>
      </w:r>
      <w:r>
        <w:rPr>
          <w:rFonts w:ascii="Calibri" w:hAnsi="Calibri"/>
          <w:b/>
          <w:color w:val="525866"/>
          <w:sz w:val="22"/>
        </w:rPr>
        <w:t>moved higher (+4.9%)</w:t>
      </w:r>
      <w:r>
        <w:rPr>
          <w:rFonts w:ascii="Calibri" w:hAnsi="Calibri"/>
          <w:color w:val="525866"/>
          <w:sz w:val="22"/>
        </w:rPr>
        <w:t xml:space="preserve"> since the Q1 print, reflecting growing Street conviction in the Universes Beyond slate (Marvel Super Heroes, The Hobbit, Star Trek) sustaining momentum through the year.</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HAS has underperformed both XLY and the S&amp;P 500 since the Q1 print, with the decline driven almost entirely by </w:t>
      </w:r>
      <w:r>
        <w:rPr>
          <w:rFonts w:ascii="Calibri" w:hAnsi="Calibri"/>
          <w:b/>
          <w:color w:val="525866"/>
          <w:sz w:val="22"/>
        </w:rPr>
        <w:t>multiple compression</w:t>
      </w:r>
      <w:r>
        <w:rPr>
          <w:rFonts w:ascii="Calibri" w:hAnsi="Calibri"/>
          <w:color w:val="525866"/>
          <w:sz w:val="22"/>
        </w:rPr>
        <w:t xml:space="preserve"> (NTM EV/EBITDA contracted from ~11x to ~9.5x, a ~14% de-rating) rather than estimate cuts, suggesting sentiment-driven selling rather than fundamental deterioration — which sets up a potentially asymmetric reaction if Q2 results confirm the cyber impact was indeed transitory.</w:t>
      </w:r>
    </w:p>
    <w:p>
      <w:r>
        <w:rPr>
          <w:rFonts w:ascii="Calibri" w:hAnsi="Calibri"/>
          <w:b/>
          <w:color w:val="525866"/>
          <w:sz w:val="22"/>
        </w:rPr>
        <w:t>HAS vs. XLY vs. S&amp;P 500 — Indexed Performance Since Q1 2026 Earnings (May 20,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HAS (Indexed)</w:t>
            </w:r>
          </w:p>
        </w:tc>
        <w:tc>
          <w:tcPr>
            <w:tcW w:type="dxa" w:w="2160"/>
            <w:shd w:val="clear" w:color="auto" w:fill="3B4259"/>
          </w:tcPr>
          <w:p>
            <w:r>
              <w:rPr>
                <w:rFonts w:ascii="Calibri" w:hAnsi="Calibri"/>
                <w:b/>
                <w:color w:val="FFFFFF"/>
                <w:sz w:val="22"/>
              </w:rPr>
              <w:t>XLY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20,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27, 2026</w:t>
            </w:r>
          </w:p>
        </w:tc>
        <w:tc>
          <w:tcPr>
            <w:tcW w:type="dxa" w:w="2160"/>
          </w:tcPr>
          <w:p>
            <w:r>
              <w:rPr>
                <w:rFonts w:ascii="Calibri" w:hAnsi="Calibri"/>
                <w:sz w:val="22"/>
              </w:rPr>
              <w:t>99.3</w:t>
            </w:r>
          </w:p>
        </w:tc>
        <w:tc>
          <w:tcPr>
            <w:tcW w:type="dxa" w:w="2160"/>
          </w:tcPr>
          <w:p>
            <w:r>
              <w:rPr>
                <w:rFonts w:ascii="Calibri" w:hAnsi="Calibri"/>
                <w:sz w:val="22"/>
              </w:rPr>
              <w:t>103.1</w:t>
            </w:r>
          </w:p>
        </w:tc>
        <w:tc>
          <w:tcPr>
            <w:tcW w:type="dxa" w:w="2160"/>
          </w:tcPr>
          <w:p>
            <w:r>
              <w:rPr>
                <w:rFonts w:ascii="Calibri" w:hAnsi="Calibri"/>
                <w:sz w:val="22"/>
              </w:rPr>
              <w:t>101.3</w:t>
            </w:r>
          </w:p>
        </w:tc>
      </w:tr>
      <w:tr>
        <w:tc>
          <w:tcPr>
            <w:tcW w:type="dxa" w:w="2160"/>
          </w:tcPr>
          <w:p>
            <w:r>
              <w:rPr>
                <w:rFonts w:ascii="Calibri" w:hAnsi="Calibri"/>
                <w:sz w:val="22"/>
              </w:rPr>
              <w:t>Jun 5, 2026</w:t>
            </w:r>
          </w:p>
        </w:tc>
        <w:tc>
          <w:tcPr>
            <w:tcW w:type="dxa" w:w="2160"/>
          </w:tcPr>
          <w:p>
            <w:r>
              <w:rPr>
                <w:rFonts w:ascii="Calibri" w:hAnsi="Calibri"/>
                <w:sz w:val="22"/>
              </w:rPr>
              <w:t>95.0</w:t>
            </w:r>
          </w:p>
        </w:tc>
        <w:tc>
          <w:tcPr>
            <w:tcW w:type="dxa" w:w="2160"/>
          </w:tcPr>
          <w:p>
            <w:r>
              <w:rPr>
                <w:rFonts w:ascii="Calibri" w:hAnsi="Calibri"/>
                <w:sz w:val="22"/>
              </w:rPr>
              <w:t>97.4</w:t>
            </w:r>
          </w:p>
        </w:tc>
        <w:tc>
          <w:tcPr>
            <w:tcW w:type="dxa" w:w="2160"/>
          </w:tcPr>
          <w:p>
            <w:r>
              <w:rPr>
                <w:rFonts w:ascii="Calibri" w:hAnsi="Calibri"/>
                <w:sz w:val="22"/>
              </w:rPr>
              <w:t>99.5</w:t>
            </w:r>
          </w:p>
        </w:tc>
      </w:tr>
      <w:tr>
        <w:tc>
          <w:tcPr>
            <w:tcW w:type="dxa" w:w="2160"/>
          </w:tcPr>
          <w:p>
            <w:r>
              <w:rPr>
                <w:rFonts w:ascii="Calibri" w:hAnsi="Calibri"/>
                <w:sz w:val="22"/>
              </w:rPr>
              <w:t>Jun 15, 2026</w:t>
            </w:r>
          </w:p>
        </w:tc>
        <w:tc>
          <w:tcPr>
            <w:tcW w:type="dxa" w:w="2160"/>
          </w:tcPr>
          <w:p>
            <w:r>
              <w:rPr>
                <w:rFonts w:ascii="Calibri" w:hAnsi="Calibri"/>
                <w:sz w:val="22"/>
              </w:rPr>
              <w:t>95.9</w:t>
            </w:r>
          </w:p>
        </w:tc>
        <w:tc>
          <w:tcPr>
            <w:tcW w:type="dxa" w:w="2160"/>
          </w:tcPr>
          <w:p>
            <w:r>
              <w:rPr>
                <w:rFonts w:ascii="Calibri" w:hAnsi="Calibri"/>
                <w:sz w:val="22"/>
              </w:rPr>
              <w:t>100.5</w:t>
            </w:r>
          </w:p>
        </w:tc>
        <w:tc>
          <w:tcPr>
            <w:tcW w:type="dxa" w:w="2160"/>
          </w:tcPr>
          <w:p>
            <w:r>
              <w:rPr>
                <w:rFonts w:ascii="Calibri" w:hAnsi="Calibri"/>
                <w:sz w:val="22"/>
              </w:rPr>
              <w:t>101.8</w:t>
            </w:r>
          </w:p>
        </w:tc>
      </w:tr>
      <w:tr>
        <w:tc>
          <w:tcPr>
            <w:tcW w:type="dxa" w:w="2160"/>
          </w:tcPr>
          <w:p>
            <w:r>
              <w:rPr>
                <w:rFonts w:ascii="Calibri" w:hAnsi="Calibri"/>
                <w:sz w:val="22"/>
              </w:rPr>
              <w:t>Jun 30, 2026</w:t>
            </w:r>
          </w:p>
        </w:tc>
        <w:tc>
          <w:tcPr>
            <w:tcW w:type="dxa" w:w="2160"/>
          </w:tcPr>
          <w:p>
            <w:r>
              <w:rPr>
                <w:rFonts w:ascii="Calibri" w:hAnsi="Calibri"/>
                <w:sz w:val="22"/>
              </w:rPr>
              <w:t>93.2</w:t>
            </w:r>
          </w:p>
        </w:tc>
        <w:tc>
          <w:tcPr>
            <w:tcW w:type="dxa" w:w="2160"/>
          </w:tcPr>
          <w:p>
            <w:r>
              <w:rPr>
                <w:rFonts w:ascii="Calibri" w:hAnsi="Calibri"/>
                <w:sz w:val="22"/>
              </w:rPr>
              <w:t>99.4</w:t>
            </w:r>
          </w:p>
        </w:tc>
        <w:tc>
          <w:tcPr>
            <w:tcW w:type="dxa" w:w="2160"/>
          </w:tcPr>
          <w:p>
            <w:r>
              <w:rPr>
                <w:rFonts w:ascii="Calibri" w:hAnsi="Calibri"/>
                <w:sz w:val="22"/>
              </w:rPr>
              <w:t>100.7</w:t>
            </w:r>
          </w:p>
        </w:tc>
      </w:tr>
      <w:tr>
        <w:tc>
          <w:tcPr>
            <w:tcW w:type="dxa" w:w="2160"/>
          </w:tcPr>
          <w:p>
            <w:r>
              <w:rPr>
                <w:rFonts w:ascii="Calibri" w:hAnsi="Calibri"/>
                <w:sz w:val="22"/>
              </w:rPr>
              <w:t>Jul 8, 2026 (Trough)</w:t>
            </w:r>
          </w:p>
        </w:tc>
        <w:tc>
          <w:tcPr>
            <w:tcW w:type="dxa" w:w="2160"/>
          </w:tcPr>
          <w:p>
            <w:r>
              <w:rPr>
                <w:rFonts w:ascii="Calibri" w:hAnsi="Calibri"/>
                <w:sz w:val="22"/>
              </w:rPr>
              <w:t>85.6</w:t>
            </w:r>
          </w:p>
        </w:tc>
        <w:tc>
          <w:tcPr>
            <w:tcW w:type="dxa" w:w="2160"/>
          </w:tcPr>
          <w:p>
            <w:r>
              <w:rPr>
                <w:rFonts w:ascii="Calibri" w:hAnsi="Calibri"/>
                <w:sz w:val="22"/>
              </w:rPr>
              <w:t>97.8</w:t>
            </w:r>
          </w:p>
        </w:tc>
        <w:tc>
          <w:tcPr>
            <w:tcW w:type="dxa" w:w="2160"/>
          </w:tcPr>
          <w:p>
            <w:r>
              <w:rPr>
                <w:rFonts w:ascii="Calibri" w:hAnsi="Calibri"/>
                <w:sz w:val="22"/>
              </w:rPr>
              <w:t>100.6</w:t>
            </w:r>
          </w:p>
        </w:tc>
      </w:tr>
      <w:tr>
        <w:tc>
          <w:tcPr>
            <w:tcW w:type="dxa" w:w="2160"/>
          </w:tcPr>
          <w:p>
            <w:r>
              <w:rPr>
                <w:rFonts w:ascii="Calibri" w:hAnsi="Calibri"/>
                <w:sz w:val="22"/>
              </w:rPr>
              <w:t>Jul 17, 2026</w:t>
            </w:r>
          </w:p>
        </w:tc>
        <w:tc>
          <w:tcPr>
            <w:tcW w:type="dxa" w:w="2160"/>
          </w:tcPr>
          <w:p>
            <w:r>
              <w:rPr>
                <w:rFonts w:ascii="Calibri" w:hAnsi="Calibri"/>
                <w:sz w:val="22"/>
              </w:rPr>
              <w:t>92.0</w:t>
            </w:r>
          </w:p>
        </w:tc>
        <w:tc>
          <w:tcPr>
            <w:tcW w:type="dxa" w:w="2160"/>
          </w:tcPr>
          <w:p>
            <w:r>
              <w:rPr>
                <w:rFonts w:ascii="Calibri" w:hAnsi="Calibri"/>
                <w:sz w:val="22"/>
              </w:rPr>
              <w:t>97.9</w:t>
            </w:r>
          </w:p>
        </w:tc>
        <w:tc>
          <w:tcPr>
            <w:tcW w:type="dxa" w:w="2160"/>
          </w:tcPr>
          <w:p>
            <w:r>
              <w:rPr>
                <w:rFonts w:ascii="Calibri" w:hAnsi="Calibri"/>
                <w:sz w:val="22"/>
              </w:rPr>
              <w:t>100.3</w:t>
            </w:r>
          </w:p>
        </w:tc>
      </w:tr>
      <w:tr>
        <w:tc>
          <w:tcPr>
            <w:tcW w:type="dxa" w:w="2160"/>
          </w:tcPr>
          <w:p>
            <w:r>
              <w:rPr>
                <w:rFonts w:ascii="Calibri" w:hAnsi="Calibri"/>
                <w:sz w:val="22"/>
              </w:rPr>
              <w:t>Jul 21, 2026 (Pre-Earnings)</w:t>
            </w:r>
          </w:p>
        </w:tc>
        <w:tc>
          <w:tcPr>
            <w:tcW w:type="dxa" w:w="2160"/>
          </w:tcPr>
          <w:p>
            <w:r>
              <w:rPr>
                <w:rFonts w:ascii="Calibri" w:hAnsi="Calibri"/>
                <w:sz w:val="22"/>
              </w:rPr>
              <w:t>92.1</w:t>
            </w:r>
          </w:p>
        </w:tc>
        <w:tc>
          <w:tcPr>
            <w:tcW w:type="dxa" w:w="2160"/>
          </w:tcPr>
          <w:p>
            <w:r>
              <w:rPr>
                <w:rFonts w:ascii="Calibri" w:hAnsi="Calibri"/>
                <w:sz w:val="22"/>
              </w:rPr>
              <w:t>97.2</w:t>
            </w:r>
          </w:p>
        </w:tc>
        <w:tc>
          <w:tcPr>
            <w:tcW w:type="dxa" w:w="2160"/>
          </w:tcPr>
          <w:p>
            <w:r>
              <w:rPr>
                <w:rFonts w:ascii="Calibri" w:hAnsi="Calibri"/>
                <w:sz w:val="22"/>
              </w:rPr>
              <w:t>100.1</w:t>
            </w:r>
          </w:p>
        </w:tc>
      </w:tr>
    </w:tbl>
    <w:p>
      <w:r>
        <w:rPr>
          <w:rFonts w:ascii="Calibri" w:hAnsi="Calibri"/>
          <w:b/>
          <w:color w:val="525866"/>
          <w:sz w:val="22"/>
        </w:rPr>
        <w:t xml:space="preserve">Sector ETF used: </w:t>
      </w:r>
      <w:r>
        <w:rPr>
          <w:rFonts w:ascii="Calibri" w:hAnsi="Calibri"/>
          <w:i/>
          <w:color w:val="525866"/>
          <w:sz w:val="22"/>
        </w:rPr>
        <w:t>XLY (Consumer Discretionary Select Sector SPDR Fund) — appropriate given HAS's classification as a consumer discretionary company (toys, games, entertainment). Source: Stock Price Data (Yahoo Finance).</w:t>
      </w:r>
    </w:p>
    <w:p>
      <w:r>
        <w:rPr>
          <w:rFonts w:ascii="Calibri" w:hAnsi="Calibri"/>
          <w:b/>
          <w:color w:val="525866"/>
          <w:sz w:val="22"/>
        </w:rPr>
        <w:t xml:space="preserve">Performance Summary: </w:t>
      </w:r>
      <w:r>
        <w:rPr>
          <w:rFonts w:ascii="Calibri" w:hAnsi="Calibri"/>
          <w:color w:val="525866"/>
          <w:sz w:val="22"/>
        </w:rPr>
        <w:t xml:space="preserve">From the Q1 2026 earnings date (May 20, 2026) through July 21, 2026, HAS declined approximately </w:t>
      </w:r>
      <w:r>
        <w:rPr>
          <w:rFonts w:ascii="Calibri" w:hAnsi="Calibri"/>
          <w:b/>
          <w:color w:val="525866"/>
          <w:sz w:val="22"/>
        </w:rPr>
        <w:t>−8%</w:t>
      </w:r>
      <w:r>
        <w:rPr>
          <w:rFonts w:ascii="Calibri" w:hAnsi="Calibri"/>
          <w:color w:val="525866"/>
          <w:sz w:val="22"/>
        </w:rPr>
        <w:t xml:space="preserve"> on an indexed basis, versus XLY down ~3% and SPY essentially flat (+0.1%). The stock hit a trough around July 7–8 (indexed ~85.6) before recovering modestly into the print. The underperformance is consistent with the stock performance decomposition data showing NTM EV/EBITDA contracting from ~11.0x (3 months ago) to ~9.5x currently — a ~14% multiple de-rating — while EPS estimates are essentially flat, confirming that </w:t>
      </w:r>
      <w:r>
        <w:rPr>
          <w:rFonts w:ascii="Calibri" w:hAnsi="Calibri"/>
          <w:b/>
          <w:color w:val="525866"/>
          <w:sz w:val="22"/>
        </w:rPr>
        <w:t>multiple compression, not estimate cuts, drove the drawdown</w:t>
      </w:r>
      <w:r>
        <w:rPr>
          <w:rFonts w:ascii="Calibri" w:hAnsi="Calibri"/>
          <w:color w:val="525866"/>
          <w:sz w:val="22"/>
        </w:rPr>
        <w:t>. Key events during the period: (1) April 23 pre-announcement (positive — stock surged pre-Q1 print); (2) May 20 Q1 earnings call — stock declined modestly as the beat had been pre-priced; (3) July 9 — adult Play-Doh launch (minor positive); (4) July 13 — Mattel/Hasbro M&amp;A speculation (brief +3% intraday). The stock enters Q2 earnings at a lower multiple and with lower sentiment, which is a more constructive setup than it was at the Q1 print.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confirmation that Secrets of Strixhaven surpassed Lorwyn Eclipsed as the largest Magic Premier set ever</w:t>
      </w:r>
      <w:r>
        <w:rPr>
          <w:rFonts w:ascii="Calibri" w:hAnsi="Calibri"/>
          <w:color w:val="525866"/>
          <w:sz w:val="22"/>
        </w:rPr>
        <w:t xml:space="preserve"> (disclosed on the May 20 call), which de-risks the Q2 Wizards revenue line; the cybersecurity incident's Q2 revenue timing impact is the primary known headwind but is already in estimates.</w:t>
      </w:r>
    </w:p>
    <w:p>
      <w:pPr>
        <w:pStyle w:val="ListBullet"/>
        <w:ind w:left="360" w:hanging="360"/>
      </w:pPr>
      <w:r>
        <w:rPr>
          <w:rFonts w:ascii="Calibri" w:hAnsi="Calibri"/>
          <w:b/>
          <w:color w:val="525866"/>
          <w:sz w:val="22"/>
        </w:rPr>
        <w:t>May 20, 2026 — Q1 2026 Earnings Call &amp; Results:</w:t>
      </w:r>
      <w:r>
        <w:rPr>
          <w:rFonts w:ascii="Calibri" w:hAnsi="Calibri"/>
          <w:i/>
          <w:color w:val="525866"/>
          <w:sz w:val="22"/>
        </w:rPr>
        <w:t xml:space="preserve"> HAS reported Q1 revenue of $1.00B (+13% YoY) and adj. EPS of $1.47, both well above consensus. Management disclosed that Secrets of Strixhaven had already surpassed Lorwyn Eclipsed as the largest Magic Premier set ever. Cybersecurity incident quantified: ~$40–60M CP revenue shifts from Q2 to Q3; ~$20M one-time remediation costs (not in adj. EBITDA). Full-year guidance reiterated. Share repurchase program initiated. Magic Arena/Disney Marvel digital rights deal announced. </w:t>
      </w:r>
      <w:r>
        <w:rPr>
          <w:rFonts w:ascii="Calibri" w:hAnsi="Calibri"/>
          <w:b/>
          <w:color w:val="525866"/>
          <w:sz w:val="22"/>
        </w:rPr>
        <w:t xml:space="preserve">Implication: </w:t>
      </w:r>
      <w:r>
        <w:rPr>
          <w:rFonts w:ascii="Calibri" w:hAnsi="Calibri"/>
          <w:color w:val="525866"/>
          <w:sz w:val="22"/>
        </w:rPr>
        <w:t>Sets a high bar for Q2 Wizards but confirms demand is real; cyber impact is a known, quantified timing issue.</w:t>
      </w:r>
    </w:p>
    <w:p>
      <w:pPr>
        <w:pStyle w:val="ListBullet"/>
        <w:ind w:left="360" w:hanging="360"/>
      </w:pPr>
      <w:r>
        <w:rPr>
          <w:rFonts w:ascii="Calibri" w:hAnsi="Calibri"/>
          <w:b/>
          <w:color w:val="525866"/>
          <w:sz w:val="22"/>
        </w:rPr>
        <w:t>April 23, 2026 — Preliminary Q1 Results &amp; Cyber Update (8-K):</w:t>
      </w:r>
      <w:r>
        <w:rPr>
          <w:rFonts w:ascii="Calibri" w:hAnsi="Calibri"/>
          <w:i/>
          <w:color w:val="525866"/>
          <w:sz w:val="22"/>
        </w:rPr>
        <w:t xml:space="preserve"> Hasbro pre-announced Q1 results ahead of schedule, disclosing the unauthorized network access incident (occurred end of March), reiterating FY 2026 guidance, and confirming Magic shipments and release cadence continued as planned in Q2 including the April Secrets of Strixhaven release. </w:t>
      </w:r>
      <w:r>
        <w:rPr>
          <w:rFonts w:ascii="Calibri" w:hAnsi="Calibri"/>
          <w:b/>
          <w:color w:val="525866"/>
          <w:sz w:val="22"/>
        </w:rPr>
        <w:t xml:space="preserve">Implication: </w:t>
      </w:r>
      <w:r>
        <w:rPr>
          <w:rFonts w:ascii="Calibri" w:hAnsi="Calibri"/>
          <w:color w:val="525866"/>
          <w:sz w:val="22"/>
        </w:rPr>
        <w:t>Removed uncertainty around Q1 and confirmed Q2 Magic pipeline intact; stock surged ~10%+ on the day.</w:t>
      </w:r>
    </w:p>
    <w:p>
      <w:pPr>
        <w:pStyle w:val="ListBullet"/>
        <w:ind w:left="360" w:hanging="360"/>
      </w:pPr>
      <w:r>
        <w:rPr>
          <w:rFonts w:ascii="Calibri" w:hAnsi="Calibri"/>
          <w:b/>
          <w:color w:val="525866"/>
          <w:sz w:val="22"/>
        </w:rPr>
        <w:t>April 1, 2026 — Cybersecurity Incident Disclosure (8-K):</w:t>
      </w:r>
      <w:r>
        <w:rPr>
          <w:rFonts w:ascii="Calibri" w:hAnsi="Calibri"/>
          <w:i/>
          <w:color w:val="525866"/>
          <w:sz w:val="22"/>
        </w:rPr>
        <w:t xml:space="preserve"> Hasbro disclosed unauthorized network access, warning of potential operational delays. </w:t>
      </w:r>
      <w:r>
        <w:rPr>
          <w:rFonts w:ascii="Calibri" w:hAnsi="Calibri"/>
          <w:b/>
          <w:color w:val="525866"/>
          <w:sz w:val="22"/>
        </w:rPr>
        <w:t xml:space="preserve">Implication: </w:t>
      </w:r>
      <w:r>
        <w:rPr>
          <w:rFonts w:ascii="Calibri" w:hAnsi="Calibri"/>
          <w:color w:val="525866"/>
          <w:sz w:val="22"/>
        </w:rPr>
        <w:t>Created initial uncertainty around Q2 Consumer Products shipping and invoicing; subsequently quantified as $40–60M Q2-to-Q3 revenue shift.</w:t>
      </w:r>
    </w:p>
    <w:p>
      <w:pPr>
        <w:pStyle w:val="ListBullet"/>
        <w:ind w:left="360" w:hanging="360"/>
      </w:pPr>
      <w:r>
        <w:rPr>
          <w:rFonts w:ascii="Calibri" w:hAnsi="Calibri"/>
          <w:b/>
          <w:color w:val="525866"/>
          <w:sz w:val="22"/>
        </w:rPr>
        <w:t>July 13, 2026 — Mattel/Hasbro M&amp;A Speculation:</w:t>
      </w:r>
      <w:r>
        <w:rPr>
          <w:rFonts w:ascii="Calibri" w:hAnsi="Calibri"/>
          <w:i/>
          <w:color w:val="525866"/>
          <w:sz w:val="22"/>
        </w:rPr>
        <w:t xml:space="preserve"> Investor John Rogers at Barron's midyear roundtable recommended buying Mattel, noting activist investors (Southeastern Asset Management) have urged Mattel to explore a sale to Hasbro, arguing the current regulatory environment is favorable for a combination. HAS rose ~3% intraday on the news. </w:t>
      </w:r>
      <w:r>
        <w:rPr>
          <w:rFonts w:ascii="Calibri" w:hAnsi="Calibri"/>
          <w:b/>
          <w:color w:val="525866"/>
          <w:sz w:val="22"/>
        </w:rPr>
        <w:t xml:space="preserve">Implication: </w:t>
      </w:r>
      <w:r>
        <w:rPr>
          <w:rFonts w:ascii="Calibri" w:hAnsi="Calibri"/>
          <w:color w:val="525866"/>
          <w:sz w:val="22"/>
        </w:rPr>
        <w:t>Optionality value; not a near-term catalyst but adds a floor to the stock if M&amp;A speculation persists.</w:t>
      </w:r>
    </w:p>
    <w:p>
      <w:pPr>
        <w:pStyle w:val="ListBullet"/>
        <w:ind w:left="360" w:hanging="360"/>
      </w:pPr>
      <w:r>
        <w:rPr>
          <w:rFonts w:ascii="Calibri" w:hAnsi="Calibri"/>
          <w:b/>
          <w:color w:val="525866"/>
          <w:sz w:val="22"/>
        </w:rPr>
        <w:t>July 9, 2026 — Blooms by Play-Doh Launch (Adult "Aging Up" Strategy):</w:t>
      </w:r>
      <w:r>
        <w:rPr>
          <w:rFonts w:ascii="Calibri" w:hAnsi="Calibri"/>
          <w:i/>
          <w:color w:val="525866"/>
          <w:sz w:val="22"/>
        </w:rPr>
        <w:t xml:space="preserve"> Hasbro launched a new adult-focused Play-Doh line (floral arrangement modeling kits) as part of its "kidult" strategy, enlisting 200+ creators and hosting events at the Whitney Museum. Marketing shifted fully in-house, away from media agencies. </w:t>
      </w:r>
      <w:r>
        <w:rPr>
          <w:rFonts w:ascii="Calibri" w:hAnsi="Calibri"/>
          <w:b/>
          <w:color w:val="525866"/>
          <w:sz w:val="22"/>
        </w:rPr>
        <w:t xml:space="preserve">Implication: </w:t>
      </w:r>
      <w:r>
        <w:rPr>
          <w:rFonts w:ascii="Calibri" w:hAnsi="Calibri"/>
          <w:color w:val="525866"/>
          <w:sz w:val="22"/>
        </w:rPr>
        <w:t>Incremental Consumer Products revenue opportunity; validates the "aging up" strategy but too early to move the needle for Q2.</w:t>
      </w:r>
    </w:p>
    <w:p>
      <w:pPr>
        <w:pStyle w:val="ListBullet"/>
        <w:ind w:left="360" w:hanging="360"/>
      </w:pPr>
      <w:r>
        <w:rPr>
          <w:rFonts w:ascii="Calibri" w:hAnsi="Calibri"/>
          <w:b/>
          <w:color w:val="525866"/>
          <w:sz w:val="22"/>
        </w:rPr>
        <w:t>June 15, 2026 — Circana U.S. Toy Industry Data (Through April 2026):</w:t>
      </w:r>
      <w:r>
        <w:rPr>
          <w:rFonts w:ascii="Calibri" w:hAnsi="Calibri"/>
          <w:i/>
          <w:color w:val="525866"/>
          <w:sz w:val="22"/>
        </w:rPr>
        <w:t xml:space="preserve"> U.S. toy industry posted +13% dollar growth through April 2026 vs. prior year, with unit sales +5% and ASP +7%. Games and puzzles led at +39% (driven by Pokémon). Collectibles and trading cards were the primary growth drivers. </w:t>
      </w:r>
      <w:r>
        <w:rPr>
          <w:rFonts w:ascii="Calibri" w:hAnsi="Calibri"/>
          <w:b/>
          <w:color w:val="525866"/>
          <w:sz w:val="22"/>
        </w:rPr>
        <w:t xml:space="preserve">Implication: </w:t>
      </w:r>
      <w:r>
        <w:rPr>
          <w:rFonts w:ascii="Calibri" w:hAnsi="Calibri"/>
          <w:color w:val="525866"/>
          <w:sz w:val="22"/>
        </w:rPr>
        <w:t>Strongly positive read-through for HAS's Wizards/Magic and Consumer Products segments; industry tailwind is real and accelerating.</w:t>
      </w:r>
    </w:p>
    <w:p>
      <w:pPr>
        <w:pStyle w:val="ListBullet"/>
        <w:ind w:left="360" w:hanging="360"/>
      </w:pPr>
      <w:r>
        <w:rPr>
          <w:rFonts w:ascii="Calibri" w:hAnsi="Calibri"/>
          <w:b/>
          <w:color w:val="525866"/>
          <w:sz w:val="22"/>
        </w:rPr>
        <w:t>June 15, 2026 — Annual Shareholder Meeting (8-K):</w:t>
      </w:r>
      <w:r>
        <w:rPr>
          <w:rFonts w:ascii="Calibri" w:hAnsi="Calibri"/>
          <w:i/>
          <w:color w:val="525866"/>
          <w:sz w:val="22"/>
        </w:rPr>
        <w:t xml:space="preserve"> Hasbro shareholders approved all board proposals and executive pay packages. </w:t>
      </w:r>
      <w:r>
        <w:rPr>
          <w:rFonts w:ascii="Calibri" w:hAnsi="Calibri"/>
          <w:b/>
          <w:color w:val="525866"/>
          <w:sz w:val="22"/>
        </w:rPr>
        <w:t xml:space="preserve">Implication: </w:t>
      </w:r>
      <w:r>
        <w:rPr>
          <w:rFonts w:ascii="Calibri" w:hAnsi="Calibri"/>
          <w:color w:val="525866"/>
          <w:sz w:val="22"/>
        </w:rPr>
        <w:t>No governance overhang; routine.</w:t>
      </w:r>
    </w:p>
    <w:p>
      <w:pPr>
        <w:pStyle w:val="ListBullet"/>
        <w:ind w:left="360" w:hanging="360"/>
      </w:pPr>
      <w:r>
        <w:rPr>
          <w:rFonts w:ascii="Calibri" w:hAnsi="Calibri"/>
          <w:b/>
          <w:color w:val="525866"/>
          <w:sz w:val="22"/>
        </w:rPr>
        <w:t>Ongoing — Entertainment Slate Execution:</w:t>
      </w:r>
      <w:r>
        <w:rPr>
          <w:rFonts w:ascii="Calibri" w:hAnsi="Calibri"/>
          <w:i/>
          <w:color w:val="525866"/>
          <w:sz w:val="22"/>
        </w:rPr>
        <w:t xml:space="preserve"> The Mandalorian and Grogu (Star Wars) opened in theaters in late May 2026 with strong early toy sales including the $599 Ultimate Grogu animatronic. Toy Story 5, Spider-Man: Brand New Day, and Avengers: Doomsday are upcoming tentpoles for H2 2026. </w:t>
      </w:r>
      <w:r>
        <w:rPr>
          <w:rFonts w:ascii="Calibri" w:hAnsi="Calibri"/>
          <w:b/>
          <w:color w:val="525866"/>
          <w:sz w:val="22"/>
        </w:rPr>
        <w:t xml:space="preserve">Implication: </w:t>
      </w:r>
      <w:r>
        <w:rPr>
          <w:rFonts w:ascii="Calibri" w:hAnsi="Calibri"/>
          <w:color w:val="525866"/>
          <w:sz w:val="22"/>
        </w:rPr>
        <w:t>Consumer Products revenue recovery in H2 supported by entertainment slate; Q2 benefits from Mandalorian/Grogu launch.</w:t>
      </w:r>
    </w:p>
    <w:p>
      <w:pPr>
        <w:pStyle w:val="ListBullet"/>
        <w:ind w:left="360" w:hanging="360"/>
      </w:pPr>
      <w:r>
        <w:rPr>
          <w:rFonts w:ascii="Calibri" w:hAnsi="Calibri"/>
          <w:b/>
          <w:color w:val="525866"/>
          <w:sz w:val="22"/>
        </w:rPr>
        <w:t>Ongoing — Oil Cost Headwind:</w:t>
      </w:r>
      <w:r>
        <w:rPr>
          <w:rFonts w:ascii="Calibri" w:hAnsi="Calibri"/>
          <w:i/>
          <w:color w:val="525866"/>
          <w:sz w:val="22"/>
        </w:rPr>
        <w:t xml:space="preserve"> Management flagged ~$30M full-year oil-related input cost headwind (freight, resin, packaging) at ~$100/bbl, back-half weighted. Mitigation actions include freight optimization, mix management, and operating spend reductions. Tariff favorability of ~$15M partially offsets. </w:t>
      </w:r>
      <w:r>
        <w:rPr>
          <w:rFonts w:ascii="Calibri" w:hAnsi="Calibri"/>
          <w:b/>
          <w:color w:val="525866"/>
          <w:sz w:val="22"/>
        </w:rPr>
        <w:t xml:space="preserve">Implication: </w:t>
      </w:r>
      <w:r>
        <w:rPr>
          <w:rFonts w:ascii="Calibri" w:hAnsi="Calibri"/>
          <w:color w:val="525866"/>
          <w:sz w:val="22"/>
        </w:rPr>
        <w:t>Primarily a Q3/Q4 issue; limited Q2 impact but will be a key topic on the call.</w:t>
      </w:r>
    </w:p>
    <w:p>
      <w:r>
        <w:br w:type="page"/>
      </w:r>
    </w:p>
    <w:p>
      <w:pPr>
        <w:pStyle w:val="Heading2"/>
      </w:pPr>
      <w:r>
        <w:rPr>
          <w:rFonts w:ascii="Calibri" w:hAnsi="Calibri"/>
          <w:b/>
          <w:color w:val="3B4259"/>
          <w:sz w:val="28"/>
        </w:rPr>
        <w:t>7. Peer Commentary &amp; Current-Quarter Read-Through</w:t>
      </w:r>
    </w:p>
    <w:p>
      <w:r>
        <w:rPr>
          <w:rFonts w:ascii="Calibri" w:hAnsi="Calibri"/>
          <w:b/>
          <w:color w:val="525866"/>
          <w:sz w:val="22"/>
        </w:rPr>
        <w:t xml:space="preserve">Key Takeaway: </w:t>
      </w:r>
      <w:r>
        <w:rPr>
          <w:rFonts w:ascii="Calibri" w:hAnsi="Calibri"/>
          <w:color w:val="525866"/>
          <w:sz w:val="22"/>
        </w:rPr>
        <w:t xml:space="preserve">No direct public peer (Mattel, JAKKS Pacific) has yet reported Q2 2026 results as of July 20, 2026 (Mattel reports later in July; JAKKS Pacific has announced its Q2 call but not yet reported). However, Q1 2026 earnings calls from Mattel and JAKKS Pacific (both reported in late April 2026) contained </w:t>
      </w:r>
      <w:r>
        <w:rPr>
          <w:rFonts w:ascii="Calibri" w:hAnsi="Calibri"/>
          <w:b/>
          <w:color w:val="525866"/>
          <w:sz w:val="22"/>
        </w:rPr>
        <w:t>forward-looking commentary explicitly about Q2 2026 conditions</w:t>
      </w:r>
      <w:r>
        <w:rPr>
          <w:rFonts w:ascii="Calibri" w:hAnsi="Calibri"/>
          <w:color w:val="525866"/>
          <w:sz w:val="22"/>
        </w:rPr>
        <w:t xml:space="preserve"> that qualifies as current-quarter read-through. Additionally, Circana industry data through April 2026 provides a direct industry read-through. All commentary below is strictly from the May 20–July 20, 2026 disclosure window or from Q1 2026 earnings calls (April 29–April 30, 2026) where management explicitly addressed Q2 2026 conditions.</w:t>
      </w:r>
    </w:p>
    <w:p>
      <w:r>
        <w:rPr>
          <w:rFonts w:ascii="Calibri" w:hAnsi="Calibri"/>
          <w:b/>
          <w:i/>
          <w:color w:val="525866"/>
          <w:sz w:val="22"/>
        </w:rPr>
        <w:t xml:space="preserve">Disclosure Window Note: </w:t>
      </w:r>
      <w:r>
        <w:rPr>
          <w:rFonts w:ascii="Calibri" w:hAnsi="Calibri"/>
          <w:i/>
          <w:color w:val="525866"/>
          <w:sz w:val="22"/>
        </w:rPr>
        <w:t>Per the user's instruction, this section applies a strict May 20–July 20, 2026 window for post-earnings commentary, and separately includes Q1 2026 earnings call commentary (April 29–May 7, 2026) only where management explicitly addressed Q2 2026 forward conditions. Commentary about Q1 2025 results or prior-period performance is excluded.</w:t>
      </w:r>
    </w:p>
    <w:p>
      <w:pPr>
        <w:pStyle w:val="Heading3"/>
      </w:pPr>
      <w:r>
        <w:rPr>
          <w:rFonts w:ascii="Calibri" w:hAnsi="Calibri"/>
          <w:b/>
          <w:color w:val="3B4259"/>
          <w:sz w:val="24"/>
        </w:rPr>
        <w:t>A. Direct Peer Commentary (Q2 2026 Forward-Looking, from Q1 2026 Earnings Calls)</w:t>
      </w:r>
    </w:p>
    <w:p>
      <w:pPr>
        <w:pStyle w:val="Heading4"/>
      </w:pPr>
      <w:r>
        <w:rPr>
          <w:rFonts w:ascii="Calibri" w:hAnsi="Calibri"/>
          <w:b/>
          <w:color w:val="3B4259"/>
          <w:sz w:val="22"/>
        </w:rPr>
        <w:t>Mattel (MAT) — Q1 2026 Earnings Call, April 29, 2026</w:t>
      </w:r>
    </w:p>
    <w:p>
      <w:pPr>
        <w:pStyle w:val="ListBullet"/>
        <w:ind w:left="360" w:hanging="360"/>
      </w:pPr>
      <w:r>
        <w:rPr>
          <w:rFonts w:ascii="Calibri" w:hAnsi="Calibri"/>
          <w:b/>
          <w:color w:val="525866"/>
          <w:sz w:val="22"/>
        </w:rPr>
        <w:t>Q2 Top-Line Acceleration Confirmed:</w:t>
      </w:r>
      <w:r>
        <w:rPr>
          <w:rFonts w:ascii="Calibri" w:hAnsi="Calibri"/>
          <w:i/>
          <w:color w:val="525866"/>
          <w:sz w:val="22"/>
        </w:rPr>
        <w:t xml:space="preserve"> CEO Ynon Kreiz stated the company is seeing "top line acceleration in the second quarter to date" and is "well positioned to grow in the second quarter." CFO Paul Ruh clarified that while POS is "flat to slightly down" early in Q2 due to Easter seasonality, the company is "encouraged by what we're seeing from an acceleration in shipping in Q2 year-to-date." </w:t>
      </w:r>
      <w:r>
        <w:rPr>
          <w:rFonts w:ascii="Calibri" w:hAnsi="Calibri"/>
          <w:b/>
          <w:color w:val="525866"/>
          <w:sz w:val="22"/>
        </w:rPr>
        <w:t xml:space="preserve">HAS Read-Through: </w:t>
      </w:r>
      <w:r>
        <w:rPr>
          <w:rFonts w:ascii="Calibri" w:hAnsi="Calibri"/>
          <w:color w:val="525866"/>
          <w:sz w:val="22"/>
        </w:rPr>
        <w:t>Positive — confirms the toy industry is shipping into Q2, consistent with HAS's own POS commentary; retailer ordering patterns stabilizing is a direct positive for HAS Consumer Products.</w:t>
      </w:r>
    </w:p>
    <w:p>
      <w:pPr>
        <w:pStyle w:val="ListBullet"/>
        <w:ind w:left="360" w:hanging="360"/>
      </w:pPr>
      <w:r>
        <w:rPr>
          <w:rFonts w:ascii="Calibri" w:hAnsi="Calibri"/>
          <w:b/>
          <w:color w:val="525866"/>
          <w:sz w:val="22"/>
        </w:rPr>
        <w:t>U.S. Retailer Ordering Patterns Stabilizing:</w:t>
      </w:r>
      <w:r>
        <w:rPr>
          <w:rFonts w:ascii="Calibri" w:hAnsi="Calibri"/>
          <w:i/>
          <w:color w:val="525866"/>
          <w:sz w:val="22"/>
        </w:rPr>
        <w:t xml:space="preserve"> Ruh stated "U.S. retailer ordering patterns are stabilizing and expect our North America region to grow in Q2." Retailer inventories declined low double digits vs. prior year, with the company "well positioned overall for Q2." </w:t>
      </w:r>
      <w:r>
        <w:rPr>
          <w:rFonts w:ascii="Calibri" w:hAnsi="Calibri"/>
          <w:b/>
          <w:color w:val="525866"/>
          <w:sz w:val="22"/>
        </w:rPr>
        <w:t xml:space="preserve">HAS Read-Through: </w:t>
      </w:r>
      <w:r>
        <w:rPr>
          <w:rFonts w:ascii="Calibri" w:hAnsi="Calibri"/>
          <w:color w:val="525866"/>
          <w:sz w:val="22"/>
        </w:rPr>
        <w:t>Positive — lean retailer inventories and stabilizing ordering patterns are a direct tailwind for HAS Consumer Products, which has been managing through the same dynamic. Lean inventories reduce the risk of order cancellations.</w:t>
      </w:r>
    </w:p>
    <w:p>
      <w:pPr>
        <w:pStyle w:val="ListBullet"/>
        <w:ind w:left="360" w:hanging="360"/>
      </w:pPr>
      <w:r>
        <w:rPr>
          <w:rFonts w:ascii="Calibri" w:hAnsi="Calibri"/>
          <w:b/>
          <w:color w:val="525866"/>
          <w:sz w:val="22"/>
        </w:rPr>
        <w:t>Masters of the Universe / Consumer Products Momentum:</w:t>
      </w:r>
      <w:r>
        <w:rPr>
          <w:rFonts w:ascii="Calibri" w:hAnsi="Calibri"/>
          <w:i/>
          <w:color w:val="525866"/>
          <w:sz w:val="22"/>
        </w:rPr>
        <w:t xml:space="preserve"> Product sales for Masters of the Universe (movie June 5) are "growing double digit" and "only going to get stronger." Mattel Brick Shop demand is "stronger than we can accommodate" and growing double digit. </w:t>
      </w:r>
      <w:r>
        <w:rPr>
          <w:rFonts w:ascii="Calibri" w:hAnsi="Calibri"/>
          <w:b/>
          <w:color w:val="525866"/>
          <w:sz w:val="22"/>
        </w:rPr>
        <w:t xml:space="preserve">HAS Read-Through: </w:t>
      </w:r>
      <w:r>
        <w:rPr>
          <w:rFonts w:ascii="Calibri" w:hAnsi="Calibri"/>
          <w:color w:val="525866"/>
          <w:sz w:val="22"/>
        </w:rPr>
        <w:t>Moderately positive — confirms consumer appetite for licensed/entertainment-driven toy products in Q2, which supports HAS's Mandalorian/Grogu and Spider-Man product lines.</w:t>
      </w:r>
    </w:p>
    <w:p>
      <w:pPr>
        <w:pStyle w:val="ListBullet"/>
        <w:ind w:left="360" w:hanging="360"/>
      </w:pPr>
      <w:r>
        <w:rPr>
          <w:rFonts w:ascii="Calibri" w:hAnsi="Calibri"/>
          <w:b/>
          <w:color w:val="525866"/>
          <w:sz w:val="22"/>
        </w:rPr>
        <w:t>Gross Margin Guidance for Q2:</w:t>
      </w:r>
      <w:r>
        <w:rPr>
          <w:rFonts w:ascii="Calibri" w:hAnsi="Calibri"/>
          <w:i/>
          <w:color w:val="525866"/>
          <w:sz w:val="22"/>
        </w:rPr>
        <w:t xml:space="preserve"> Ruh guided Q2 adj. gross margin to remain "below 50%" with sequential improvement vs. Q1, and noted that inflation seen in Q1 is "unrelated to the Middle East because it hasn't hit our P&amp;L" — implying oil/resin cost pressures have not yet materialized in Q2 P&amp;L for Mattel. </w:t>
      </w:r>
      <w:r>
        <w:rPr>
          <w:rFonts w:ascii="Calibri" w:hAnsi="Calibri"/>
          <w:b/>
          <w:color w:val="525866"/>
          <w:sz w:val="22"/>
        </w:rPr>
        <w:t xml:space="preserve">HAS Read-Through: </w:t>
      </w:r>
      <w:r>
        <w:rPr>
          <w:rFonts w:ascii="Calibri" w:hAnsi="Calibri"/>
          <w:color w:val="525866"/>
          <w:sz w:val="22"/>
        </w:rPr>
        <w:t>Neutral to slightly positive — if oil cost pressures haven't hit Mattel's Q2 P&amp;L, they may also be more back-half weighted for HAS, consistent with management's own guidance.</w:t>
      </w:r>
    </w:p>
    <w:p>
      <w:pPr>
        <w:pStyle w:val="Heading4"/>
      </w:pPr>
      <w:r>
        <w:rPr>
          <w:rFonts w:ascii="Calibri" w:hAnsi="Calibri"/>
          <w:b/>
          <w:color w:val="3B4259"/>
          <w:sz w:val="22"/>
        </w:rPr>
        <w:t>JAKKS Pacific (JAKK) — Q1 2026 Earnings Call, April 30, 2026</w:t>
      </w:r>
    </w:p>
    <w:p>
      <w:pPr>
        <w:pStyle w:val="ListBullet"/>
        <w:ind w:left="360" w:hanging="360"/>
      </w:pPr>
      <w:r>
        <w:rPr>
          <w:rFonts w:ascii="Calibri" w:hAnsi="Calibri"/>
          <w:b/>
          <w:color w:val="525866"/>
          <w:sz w:val="22"/>
        </w:rPr>
        <w:t>U.S. Retailer Caution Persists:</w:t>
      </w:r>
      <w:r>
        <w:rPr>
          <w:rFonts w:ascii="Calibri" w:hAnsi="Calibri"/>
          <w:i/>
          <w:color w:val="525866"/>
          <w:sz w:val="22"/>
        </w:rPr>
        <w:t xml:space="preserve"> CEO Stephen Berman characterized U.S. accounts as "somewhat tentative about the year" and "trying to forecast consumer health," with retailers "remaining somewhat cautious trying to recalibrate cost pressures, pricing resilience and ultimately, consumer behavior." </w:t>
      </w:r>
      <w:r>
        <w:rPr>
          <w:rFonts w:ascii="Calibri" w:hAnsi="Calibri"/>
          <w:b/>
          <w:color w:val="525866"/>
          <w:sz w:val="22"/>
        </w:rPr>
        <w:t xml:space="preserve">HAS Read-Through: </w:t>
      </w:r>
      <w:r>
        <w:rPr>
          <w:rFonts w:ascii="Calibri" w:hAnsi="Calibri"/>
          <w:color w:val="525866"/>
          <w:sz w:val="22"/>
        </w:rPr>
        <w:t>Mildly negative — a cautionary note on U.S. retailer sentiment that could weigh on HAS Consumer Products ordering, though HAS's Wizards business is largely insulated from this dynamic.</w:t>
      </w:r>
    </w:p>
    <w:p>
      <w:pPr>
        <w:pStyle w:val="ListBullet"/>
        <w:ind w:left="360" w:hanging="360"/>
      </w:pPr>
      <w:r>
        <w:rPr>
          <w:rFonts w:ascii="Calibri" w:hAnsi="Calibri"/>
          <w:b/>
          <w:color w:val="525866"/>
          <w:sz w:val="22"/>
        </w:rPr>
        <w:t>Oil Prices / Resin &amp; Transportation Costs:</w:t>
      </w:r>
      <w:r>
        <w:rPr>
          <w:rFonts w:ascii="Calibri" w:hAnsi="Calibri"/>
          <w:i/>
          <w:color w:val="525866"/>
          <w:sz w:val="22"/>
        </w:rPr>
        <w:t xml:space="preserve"> Berman noted the industry is "closely monitoring higher oil prices given the implications for resins and transportation costs" and called it "a cautious time because of oil prices and things that are just unknowns." </w:t>
      </w:r>
      <w:r>
        <w:rPr>
          <w:rFonts w:ascii="Calibri" w:hAnsi="Calibri"/>
          <w:b/>
          <w:color w:val="525866"/>
          <w:sz w:val="22"/>
        </w:rPr>
        <w:t xml:space="preserve">HAS Read-Through: </w:t>
      </w:r>
      <w:r>
        <w:rPr>
          <w:rFonts w:ascii="Calibri" w:hAnsi="Calibri"/>
          <w:color w:val="525866"/>
          <w:sz w:val="22"/>
        </w:rPr>
        <w:t>Confirms the oil cost headwind HAS management flagged (~$30M FY impact) is an industry-wide issue, not HAS-specific; validates management's disclosure.</w:t>
      </w:r>
    </w:p>
    <w:p>
      <w:pPr>
        <w:pStyle w:val="ListBullet"/>
        <w:ind w:left="360" w:hanging="360"/>
      </w:pPr>
      <w:r>
        <w:rPr>
          <w:rFonts w:ascii="Calibri" w:hAnsi="Calibri"/>
          <w:b/>
          <w:color w:val="525866"/>
          <w:sz w:val="22"/>
        </w:rPr>
        <w:t>Price Point Sensitivity:</w:t>
      </w:r>
      <w:r>
        <w:rPr>
          <w:rFonts w:ascii="Calibri" w:hAnsi="Calibri"/>
          <w:i/>
          <w:color w:val="525866"/>
          <w:sz w:val="22"/>
        </w:rPr>
        <w:t xml:space="preserve"> Berman emphasized that "price points are very much a focus during the first 9 months of the year" with the majority of products in the $10–$30 range. </w:t>
      </w:r>
      <w:r>
        <w:rPr>
          <w:rFonts w:ascii="Calibri" w:hAnsi="Calibri"/>
          <w:b/>
          <w:color w:val="525866"/>
          <w:sz w:val="22"/>
        </w:rPr>
        <w:t xml:space="preserve">HAS Read-Through: </w:t>
      </w:r>
      <w:r>
        <w:rPr>
          <w:rFonts w:ascii="Calibri" w:hAnsi="Calibri"/>
          <w:color w:val="525866"/>
          <w:sz w:val="22"/>
        </w:rPr>
        <w:t>Neutral — HAS's Consumer Products portfolio is similarly price-point sensitive; confirms the value-oriented consumer environment that HAS has been navigating.</w:t>
      </w:r>
    </w:p>
    <w:p>
      <w:pPr>
        <w:pStyle w:val="ListBullet"/>
        <w:ind w:left="360" w:hanging="360"/>
      </w:pPr>
      <w:r>
        <w:rPr>
          <w:rFonts w:ascii="Calibri" w:hAnsi="Calibri"/>
          <w:b/>
          <w:color w:val="525866"/>
          <w:sz w:val="22"/>
        </w:rPr>
        <w:t>Super Mario Galaxy Movie Driving Strong Sell-Through:</w:t>
      </w:r>
      <w:r>
        <w:rPr>
          <w:rFonts w:ascii="Calibri" w:hAnsi="Calibri"/>
          <w:i/>
          <w:color w:val="525866"/>
          <w:sz w:val="22"/>
        </w:rPr>
        <w:t xml:space="preserve"> The Super Mario Galaxy movie "has done phenomenally well. The product line is expansive. The sell-throughs are great." Sonic-DC crossover expanded to all accounts in spring 2026. </w:t>
      </w:r>
      <w:r>
        <w:rPr>
          <w:rFonts w:ascii="Calibri" w:hAnsi="Calibri"/>
          <w:b/>
          <w:color w:val="525866"/>
          <w:sz w:val="22"/>
        </w:rPr>
        <w:t xml:space="preserve">HAS Read-Through: </w:t>
      </w:r>
      <w:r>
        <w:rPr>
          <w:rFonts w:ascii="Calibri" w:hAnsi="Calibri"/>
          <w:color w:val="525866"/>
          <w:sz w:val="22"/>
        </w:rPr>
        <w:t>Positive — confirms that entertainment-licensed toy products are driving strong sell-through in Q2, which is directly relevant to HAS's Mandalorian/Grogu and upcoming Spider-Man launches.</w:t>
      </w:r>
    </w:p>
    <w:p>
      <w:pPr>
        <w:pStyle w:val="Heading4"/>
      </w:pPr>
      <w:r>
        <w:rPr>
          <w:rFonts w:ascii="Calibri" w:hAnsi="Calibri"/>
          <w:b/>
          <w:color w:val="3B4259"/>
          <w:sz w:val="22"/>
        </w:rPr>
        <w:t>Six Flags Entertainment (FUN) — Q1 2026 Earnings Call, May 7, 2026</w:t>
      </w:r>
    </w:p>
    <w:p>
      <w:pPr>
        <w:pStyle w:val="ListBullet"/>
        <w:ind w:left="360" w:hanging="360"/>
      </w:pPr>
      <w:r>
        <w:rPr>
          <w:rFonts w:ascii="Calibri" w:hAnsi="Calibri"/>
          <w:b/>
          <w:color w:val="525866"/>
          <w:sz w:val="22"/>
        </w:rPr>
        <w:t>Consumer Demand Trends Positive Entering Q2:</w:t>
      </w:r>
      <w:r>
        <w:rPr>
          <w:rFonts w:ascii="Calibri" w:hAnsi="Calibri"/>
          <w:i/>
          <w:color w:val="525866"/>
          <w:sz w:val="22"/>
        </w:rPr>
        <w:t xml:space="preserve"> CEO John Reilly stated the company is "entering the most important part of our operating season with encouraging early momentum, particularly around consumer demand." Through April (normalizing for Easter shift), "trends in attendance and revenue remain positive." </w:t>
      </w:r>
      <w:r>
        <w:rPr>
          <w:rFonts w:ascii="Calibri" w:hAnsi="Calibri"/>
          <w:b/>
          <w:color w:val="525866"/>
          <w:sz w:val="22"/>
        </w:rPr>
        <w:t xml:space="preserve">HAS Read-Through: </w:t>
      </w:r>
      <w:r>
        <w:rPr>
          <w:rFonts w:ascii="Calibri" w:hAnsi="Calibri"/>
          <w:color w:val="525866"/>
          <w:sz w:val="22"/>
        </w:rPr>
        <w:t>Moderately positive — while Six Flags is not a direct toy/game peer, its commentary on consumer discretionary spending and demand trends in April/May 2026 is a useful macro read-through for HAS's Consumer Products POS trends.</w:t>
      </w:r>
    </w:p>
    <w:p>
      <w:pPr>
        <w:pStyle w:val="ListBullet"/>
        <w:ind w:left="360" w:hanging="360"/>
      </w:pPr>
      <w:r>
        <w:rPr>
          <w:rFonts w:ascii="Calibri" w:hAnsi="Calibri"/>
          <w:b/>
          <w:color w:val="525866"/>
          <w:sz w:val="22"/>
        </w:rPr>
        <w:t>Marketing Cost Headwind in Q2:</w:t>
      </w:r>
      <w:r>
        <w:rPr>
          <w:rFonts w:ascii="Calibri" w:hAnsi="Calibri"/>
          <w:i/>
          <w:color w:val="525866"/>
          <w:sz w:val="22"/>
        </w:rPr>
        <w:t xml:space="preserve"> Reilly acknowledged "a big spend in marketing last year and in Q2" creating tough comps, and flagged "some maintenance cost pressure in Q2." </w:t>
      </w:r>
      <w:r>
        <w:rPr>
          <w:rFonts w:ascii="Calibri" w:hAnsi="Calibri"/>
          <w:b/>
          <w:color w:val="525866"/>
          <w:sz w:val="22"/>
        </w:rPr>
        <w:t xml:space="preserve">HAS Read-Through: </w:t>
      </w:r>
      <w:r>
        <w:rPr>
          <w:rFonts w:ascii="Calibri" w:hAnsi="Calibri"/>
          <w:color w:val="525866"/>
          <w:sz w:val="22"/>
        </w:rPr>
        <w:t>Limited direct relevance; noted for completeness as a consumer discretionary peer.</w:t>
      </w:r>
    </w:p>
    <w:p>
      <w:pPr>
        <w:pStyle w:val="Heading3"/>
      </w:pPr>
      <w:r>
        <w:rPr>
          <w:rFonts w:ascii="Calibri" w:hAnsi="Calibri"/>
          <w:b/>
          <w:color w:val="3B4259"/>
          <w:sz w:val="24"/>
        </w:rPr>
        <w:t>B. Industry Read-Through (Not Direct Peer Commentary)</w:t>
      </w:r>
    </w:p>
    <w:p>
      <w:r>
        <w:rPr>
          <w:rFonts w:ascii="Calibri" w:hAnsi="Calibri"/>
          <w:b/>
          <w:i/>
          <w:color w:val="525866"/>
          <w:sz w:val="22"/>
        </w:rPr>
        <w:t xml:space="preserve">Note: </w:t>
      </w:r>
      <w:r>
        <w:rPr>
          <w:rFonts w:ascii="Calibri" w:hAnsi="Calibri"/>
          <w:i/>
          <w:color w:val="525866"/>
          <w:sz w:val="22"/>
        </w:rPr>
        <w:t>The following data points are from industry sources and broader market data, not from direct toy/game peer earnings commentary. They are labeled separately per the user's instruction.</w:t>
      </w:r>
    </w:p>
    <w:p>
      <w:pPr>
        <w:pStyle w:val="ListBullet"/>
        <w:ind w:left="360" w:hanging="360"/>
      </w:pPr>
      <w:r>
        <w:rPr>
          <w:rFonts w:ascii="Calibri" w:hAnsi="Calibri"/>
          <w:b/>
          <w:color w:val="525866"/>
          <w:sz w:val="22"/>
        </w:rPr>
        <w:t>Circana U.S. Toy Industry Data (June 15, 2026 — Through April 2026):</w:t>
      </w:r>
      <w:r>
        <w:rPr>
          <w:rFonts w:ascii="Calibri" w:hAnsi="Calibri"/>
          <w:i/>
          <w:color w:val="525866"/>
          <w:sz w:val="22"/>
        </w:rPr>
        <w:t xml:space="preserve"> U.S. toy industry posted +13% dollar growth through April 2026 vs. prior year, with unit sales +5% and ASP +7%. Games and puzzles led at +39% (driven by Pokémon). Collectibles and trading cards were the primary growth drivers. More than 50% of overall industry growth came from female recipients; consumers 18+ accounted for 35% of total industry growth. The market is seeing a clear shift toward mid-tier and premium price bands. TikTok Shop has grown to 1% of total retail sales and 3% of e-commerce, with toys/hobbies/collectibles the third-largest category. </w:t>
      </w:r>
      <w:r>
        <w:rPr>
          <w:rFonts w:ascii="Calibri" w:hAnsi="Calibri"/>
          <w:b/>
          <w:color w:val="525866"/>
          <w:sz w:val="22"/>
        </w:rPr>
        <w:t xml:space="preserve">HAS Read-Through: </w:t>
      </w:r>
      <w:r>
        <w:rPr>
          <w:rFonts w:ascii="Calibri" w:hAnsi="Calibri"/>
          <w:color w:val="525866"/>
          <w:sz w:val="22"/>
        </w:rPr>
        <w:t>Strongly positive — the +39% games/puzzles growth and collectibles momentum directly validates HAS's Magic/Wizards business model. The "kidult" trend (35% of growth from 18+) is the exact demographic HAS is targeting with its "aging up" strategy. Premium price band shift supports Magic's collector formats and the $599 Ultimate Grogu.</w:t>
      </w:r>
    </w:p>
    <w:p>
      <w:pPr>
        <w:pStyle w:val="ListBullet"/>
        <w:ind w:left="360" w:hanging="360"/>
      </w:pPr>
      <w:r>
        <w:rPr>
          <w:rFonts w:ascii="Calibri" w:hAnsi="Calibri"/>
          <w:b/>
          <w:color w:val="525866"/>
          <w:sz w:val="22"/>
        </w:rPr>
        <w:t>Circana / eMarketer Global Toy Market Data (June 9, 2026):</w:t>
      </w:r>
      <w:r>
        <w:rPr>
          <w:rFonts w:ascii="Calibri" w:hAnsi="Calibri"/>
          <w:i/>
          <w:color w:val="525866"/>
          <w:sz w:val="22"/>
        </w:rPr>
        <w:t xml:space="preserve"> Global toy industry grew 8% YoY to $123B in 2025. In the U.S., games and puzzles jumped 37% (led by Pokémon), exploratory toys climbed 20% (NFL trading cards), and building sets rose 15% (licensed properties). Adults 15+ now account for nearly 20% of toy sales, with spending more than doubling since 2020. U.S. toy and hobby sales growth expected to slow to 3.0% in 2026 from 4.6% in 2025. </w:t>
      </w:r>
      <w:r>
        <w:rPr>
          <w:rFonts w:ascii="Calibri" w:hAnsi="Calibri"/>
          <w:b/>
          <w:color w:val="525866"/>
          <w:sz w:val="22"/>
        </w:rPr>
        <w:t xml:space="preserve">HAS Read-Through: </w:t>
      </w:r>
      <w:r>
        <w:rPr>
          <w:rFonts w:ascii="Calibri" w:hAnsi="Calibri"/>
          <w:color w:val="525866"/>
          <w:sz w:val="22"/>
        </w:rPr>
        <w:t>Positive for Magic/Wizards (trading card/collectible momentum); the expected deceleration to 3% industry growth in 2026 is a mild caution for Consumer Products but is already embedded in HAS's low-SD CP growth guidance.</w:t>
      </w:r>
    </w:p>
    <w:p>
      <w:pPr>
        <w:pStyle w:val="ListBullet"/>
        <w:ind w:left="360" w:hanging="360"/>
      </w:pPr>
      <w:r>
        <w:rPr>
          <w:rFonts w:ascii="Calibri" w:hAnsi="Calibri"/>
          <w:b/>
          <w:color w:val="525866"/>
          <w:sz w:val="22"/>
        </w:rPr>
        <w:t>Lego Smart Play Launch (July 18, 2026):</w:t>
      </w:r>
      <w:r>
        <w:rPr>
          <w:rFonts w:ascii="Calibri" w:hAnsi="Calibri"/>
          <w:i/>
          <w:color w:val="525866"/>
          <w:sz w:val="22"/>
        </w:rPr>
        <w:t xml:space="preserve"> Lego launched "Smart Play" in March 2026, described as the most dramatic upgrade of its system of play since 1978, featuring smart bricks with light and sound effects. </w:t>
      </w:r>
      <w:r>
        <w:rPr>
          <w:rFonts w:ascii="Calibri" w:hAnsi="Calibri"/>
          <w:b/>
          <w:color w:val="525866"/>
          <w:sz w:val="22"/>
        </w:rPr>
        <w:t xml:space="preserve">HAS Read-Through: </w:t>
      </w:r>
      <w:r>
        <w:rPr>
          <w:rFonts w:ascii="Calibri" w:hAnsi="Calibri"/>
          <w:color w:val="525866"/>
          <w:sz w:val="22"/>
        </w:rPr>
        <w:t>Neutral to mildly negative — Lego's innovation in the building sets category could intensify competition for HAS's Consumer Products segment, though HAS's primary growth driver (Magic/Wizards) is not directly competitive with Lego.</w:t>
      </w:r>
    </w:p>
    <w:p>
      <w:pPr>
        <w:pStyle w:val="ListBullet"/>
        <w:ind w:left="360" w:hanging="360"/>
      </w:pPr>
      <w:r>
        <w:rPr>
          <w:rFonts w:ascii="Calibri" w:hAnsi="Calibri"/>
          <w:b/>
          <w:color w:val="525866"/>
          <w:sz w:val="22"/>
        </w:rPr>
        <w:t>Mattel Activist Investor / Potential HAS-MAT Combination (July 13, 2026):</w:t>
      </w:r>
      <w:r>
        <w:rPr>
          <w:rFonts w:ascii="Calibri" w:hAnsi="Calibri"/>
          <w:i/>
          <w:color w:val="525866"/>
          <w:sz w:val="22"/>
        </w:rPr>
        <w:t xml:space="preserve"> Investor John Rogers at Barron's midyear roundtable noted that Southeastern Asset Management has urged Mattel to explore a sale to Hasbro, arguing the current regulatory environment is favorable. </w:t>
      </w:r>
      <w:r>
        <w:rPr>
          <w:rFonts w:ascii="Calibri" w:hAnsi="Calibri"/>
          <w:b/>
          <w:color w:val="525866"/>
          <w:sz w:val="22"/>
        </w:rPr>
        <w:t xml:space="preserve">HAS Read-Through: </w:t>
      </w:r>
      <w:r>
        <w:rPr>
          <w:rFonts w:ascii="Calibri" w:hAnsi="Calibri"/>
          <w:color w:val="525866"/>
          <w:sz w:val="22"/>
        </w:rPr>
        <w:t>Optionality positive — if a combination were to occur, it would create significant scale in Consumer Products and potentially accelerate HAS's turnaround; however, this is speculative and not a near-term earnings catalyst.</w:t>
      </w:r>
    </w:p>
    <w:p>
      <w:r>
        <w:rPr>
          <w:rFonts w:ascii="Calibri" w:hAnsi="Calibri"/>
          <w:b/>
          <w:color w:val="525866"/>
          <w:sz w:val="22"/>
        </w:rPr>
        <w:t xml:space="preserve">Overall Peer/Industry Read-Through Assessment: </w:t>
      </w:r>
      <w:r>
        <w:rPr>
          <w:rFonts w:ascii="Calibri" w:hAnsi="Calibri"/>
          <w:color w:val="525866"/>
          <w:sz w:val="22"/>
        </w:rPr>
        <w:t xml:space="preserve">The weight of evidence from peer commentary and industry data is </w:t>
      </w:r>
      <w:r>
        <w:rPr>
          <w:rFonts w:ascii="Calibri" w:hAnsi="Calibri"/>
          <w:b/>
          <w:color w:val="525866"/>
          <w:sz w:val="22"/>
        </w:rPr>
        <w:t>net positive for HAS Q2</w:t>
      </w:r>
      <w:r>
        <w:rPr>
          <w:rFonts w:ascii="Calibri" w:hAnsi="Calibri"/>
          <w:color w:val="525866"/>
          <w:sz w:val="22"/>
        </w:rPr>
        <w:t>: (1) U.S. toy industry is growing strongly through April, with games/collectibles leading; (2) Mattel confirmed Q2 shipping acceleration and stabilizing retailer ordering patterns; (3) entertainment-licensed products are driving strong sell-through across the industry; (4) oil cost headwinds are an industry-wide issue, not HAS-specific, and appear more back-half weighted. The primary risk flagged by peers (JAKKS) is U.S. retailer caution, which is a known headwind for HAS Consumer Products but is already embedded in the low-SD Q2 CP guidance.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HAS in the period from the Q1 2026 earnings date (May 20, 2026) through July 20, 2026 based on available SEC Form 4 data. The absence of insider buying ahead of earnings is not unusual given the company's active share repurchase program (initiated in Q1 2026), which serves as the primary capital return mechanism. No clustered buys or unusual sale activity stands out as a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discretionary sales identified for HAS in the May 20 – July 20, 2026 window per SEC Form 4 data.</w:t>
            </w:r>
          </w:p>
        </w:tc>
      </w:tr>
    </w:tbl>
    <w:p>
      <w:r>
        <w:rPr>
          <w:rFonts w:ascii="Calibri" w:hAnsi="Calibri"/>
          <w:b/>
          <w:i/>
          <w:color w:val="525866"/>
          <w:sz w:val="22"/>
        </w:rPr>
        <w:t xml:space="preserve">Note: </w:t>
      </w:r>
      <w:r>
        <w:rPr>
          <w:rFonts w:ascii="Calibri" w:hAnsi="Calibri"/>
          <w:i/>
          <w:color w:val="525866"/>
          <w:sz w:val="22"/>
        </w:rPr>
        <w:t>The SEC Form 4 insider transaction database was queried for HAS open-market purchases (code P) and sales (code S) from May 20, 2026 through July 20, 2026. No matching transactions were returned. The company initiated a share repurchase program in Q1 2026 (announced May 20, 2026 earnings call), which represents the primary form of capital return and insider alignment signal. Absence of insider selling is a mild positive; absence of insider buying is neutral given the buyback program.</w:t>
      </w:r>
    </w:p>
    <w:p>
      <w:pPr>
        <w:pStyle w:val="Heading2"/>
      </w:pPr>
      <w:r>
        <w:rPr>
          <w:rFonts w:ascii="Calibri" w:hAnsi="Calibri"/>
          <w:b/>
          <w:color w:val="3B4259"/>
          <w:sz w:val="28"/>
        </w:rPr>
        <w:t>Appendix: Key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actuals, consensus estimates, and revision history. Source: https://insights.visiblealpha.com/mex/HAS/NMV/</w:t>
      </w:r>
    </w:p>
    <w:p>
      <w:pPr>
        <w:pStyle w:val="ListBullet"/>
        <w:ind w:left="360" w:hanging="360"/>
      </w:pPr>
      <w:r>
        <w:rPr>
          <w:rFonts w:ascii="Calibri" w:hAnsi="Calibri"/>
          <w:b/>
          <w:color w:val="525866"/>
          <w:sz w:val="22"/>
        </w:rPr>
        <w:t>Hasbro Q1 2026 Earnings Call Transcript</w:t>
      </w:r>
      <w:r>
        <w:rPr>
          <w:rFonts w:ascii="Calibri" w:hAnsi="Calibri"/>
          <w:color w:val="525866"/>
          <w:sz w:val="22"/>
        </w:rPr>
        <w:t xml:space="preserve"> — May 20, 2026. Primary source for guidance, segment outlook, cyber incident details, and oil cost commentary.</w:t>
      </w:r>
    </w:p>
    <w:p>
      <w:pPr>
        <w:pStyle w:val="ListBullet"/>
        <w:ind w:left="360" w:hanging="360"/>
      </w:pPr>
      <w:r>
        <w:rPr>
          <w:rFonts w:ascii="Calibri" w:hAnsi="Calibri"/>
          <w:b/>
          <w:color w:val="525866"/>
          <w:sz w:val="22"/>
        </w:rPr>
        <w:t>Hasbro April 23, 2026 Pre-Announcement (8-K)</w:t>
      </w:r>
      <w:r>
        <w:rPr>
          <w:rFonts w:ascii="Calibri" w:hAnsi="Calibri"/>
          <w:color w:val="525866"/>
          <w:sz w:val="22"/>
        </w:rPr>
        <w:t xml:space="preserve"> — Preliminary Q1 results, cyber incident update, FY guidance reiteration.</w:t>
      </w:r>
    </w:p>
    <w:p>
      <w:pPr>
        <w:pStyle w:val="ListBullet"/>
        <w:ind w:left="360" w:hanging="360"/>
      </w:pPr>
      <w:r>
        <w:rPr>
          <w:rFonts w:ascii="Calibri" w:hAnsi="Calibri"/>
          <w:b/>
          <w:color w:val="525866"/>
          <w:sz w:val="22"/>
        </w:rPr>
        <w:t>Hasbro April 1, 2026 Cybersecurity Disclosure (8-K)</w:t>
      </w:r>
      <w:r>
        <w:rPr>
          <w:rFonts w:ascii="Calibri" w:hAnsi="Calibri"/>
          <w:color w:val="525866"/>
          <w:sz w:val="22"/>
        </w:rPr>
        <w:t xml:space="preserve"> — Initial unauthorized network access disclosure.</w:t>
      </w:r>
    </w:p>
    <w:p>
      <w:pPr>
        <w:pStyle w:val="ListBullet"/>
        <w:ind w:left="360" w:hanging="360"/>
      </w:pPr>
      <w:r>
        <w:rPr>
          <w:rFonts w:ascii="Calibri" w:hAnsi="Calibri"/>
          <w:b/>
          <w:color w:val="525866"/>
          <w:sz w:val="22"/>
        </w:rPr>
        <w:t>Mattel Q1 2026 Earnings Call Transcript</w:t>
      </w:r>
      <w:r>
        <w:rPr>
          <w:rFonts w:ascii="Calibri" w:hAnsi="Calibri"/>
          <w:color w:val="525866"/>
          <w:sz w:val="22"/>
        </w:rPr>
        <w:t xml:space="preserve"> — April 29, 2026. Source for peer Q2 commentary.</w:t>
      </w:r>
    </w:p>
    <w:p>
      <w:pPr>
        <w:pStyle w:val="ListBullet"/>
        <w:ind w:left="360" w:hanging="360"/>
      </w:pPr>
      <w:r>
        <w:rPr>
          <w:rFonts w:ascii="Calibri" w:hAnsi="Calibri"/>
          <w:b/>
          <w:color w:val="525866"/>
          <w:sz w:val="22"/>
        </w:rPr>
        <w:t>JAKKS Pacific Q1 2026 Earnings Call Transcript</w:t>
      </w:r>
      <w:r>
        <w:rPr>
          <w:rFonts w:ascii="Calibri" w:hAnsi="Calibri"/>
          <w:color w:val="525866"/>
          <w:sz w:val="22"/>
        </w:rPr>
        <w:t xml:space="preserve"> — April 30, 2026. Source for peer Q2 commentary.</w:t>
      </w:r>
    </w:p>
    <w:p>
      <w:pPr>
        <w:pStyle w:val="ListBullet"/>
        <w:ind w:left="360" w:hanging="360"/>
      </w:pPr>
      <w:r>
        <w:rPr>
          <w:rFonts w:ascii="Calibri" w:hAnsi="Calibri"/>
          <w:b/>
          <w:color w:val="525866"/>
          <w:sz w:val="22"/>
        </w:rPr>
        <w:t>Six Flags Q1 2026 Earnings Call Transcript</w:t>
      </w:r>
      <w:r>
        <w:rPr>
          <w:rFonts w:ascii="Calibri" w:hAnsi="Calibri"/>
          <w:color w:val="525866"/>
          <w:sz w:val="22"/>
        </w:rPr>
        <w:t xml:space="preserve"> — May 7, 2026. Source for consumer discretionary peer Q2 commentary.</w:t>
      </w:r>
    </w:p>
    <w:p>
      <w:pPr>
        <w:pStyle w:val="ListBullet"/>
        <w:ind w:left="360" w:hanging="360"/>
      </w:pPr>
      <w:r>
        <w:rPr>
          <w:rFonts w:ascii="Calibri" w:hAnsi="Calibri"/>
          <w:b/>
          <w:color w:val="525866"/>
          <w:sz w:val="22"/>
        </w:rPr>
        <w:t>Circana U.S. Toy Industry Report</w:t>
      </w:r>
      <w:r>
        <w:rPr>
          <w:rFonts w:ascii="Calibri" w:hAnsi="Calibri"/>
          <w:color w:val="525866"/>
          <w:sz w:val="22"/>
        </w:rPr>
        <w:t xml:space="preserve"> — June 15, 2026. Through April 2026 data.</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HAS, XLY, SPY daily closing prices May 20 – July 21, 2026.</w:t>
      </w:r>
    </w:p>
    <w:p>
      <w:pPr>
        <w:pStyle w:val="ListBullet"/>
        <w:ind w:left="360" w:hanging="360"/>
      </w:pPr>
      <w:r>
        <w:rPr>
          <w:rFonts w:ascii="Calibri" w:hAnsi="Calibri"/>
          <w:b/>
          <w:color w:val="525866"/>
          <w:sz w:val="22"/>
        </w:rPr>
        <w:t>Hasbro CEO Interview (Bloomberg/CNBC)</w:t>
      </w:r>
      <w:r>
        <w:rPr>
          <w:rFonts w:ascii="Calibri" w:hAnsi="Calibri"/>
          <w:color w:val="525866"/>
          <w:sz w:val="22"/>
        </w:rPr>
        <w:t xml:space="preserve"> — May 20, 2026. Post-Q1 earnings commentary on Magic growth, oil costs, and entertainment pipeline.</w:t>
      </w:r>
    </w:p>
    <w:p>
      <w:pPr>
        <w:pStyle w:val="ListBullet"/>
        <w:ind w:left="360" w:hanging="360"/>
      </w:pPr>
      <w:r>
        <w:rPr>
          <w:rFonts w:ascii="Calibri" w:hAnsi="Calibri"/>
          <w:b/>
          <w:color w:val="525866"/>
          <w:sz w:val="22"/>
        </w:rPr>
        <w:t>WSJ / News Digest</w:t>
      </w:r>
      <w:r>
        <w:rPr>
          <w:rFonts w:ascii="Calibri" w:hAnsi="Calibri"/>
          <w:color w:val="525866"/>
          <w:sz w:val="22"/>
        </w:rPr>
        <w:t xml:space="preserve"> — July 9, 2026. Blooms by Play-Doh adult product launch.</w:t>
      </w:r>
    </w:p>
    <w:p>
      <w:pPr>
        <w:pStyle w:val="ListBullet"/>
        <w:ind w:left="360" w:hanging="360"/>
      </w:pPr>
      <w:r>
        <w:rPr>
          <w:rFonts w:ascii="Calibri" w:hAnsi="Calibri"/>
          <w:b/>
          <w:color w:val="525866"/>
          <w:sz w:val="22"/>
        </w:rPr>
        <w:t>Barron's / News Digest</w:t>
      </w:r>
      <w:r>
        <w:rPr>
          <w:rFonts w:ascii="Calibri" w:hAnsi="Calibri"/>
          <w:color w:val="525866"/>
          <w:sz w:val="22"/>
        </w:rPr>
        <w:t xml:space="preserve"> — July 13, 2026. Mattel activist investor / HAS-MAT combination speculation.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