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HBAN (Huntington Bancshares) to build a well-informed earnings preview. Let me gather recent transcripts, filings, and news.Let me read the most recent earnings call (2026Q1), the latest release, and the year-ago Q2 call for context.Let me gather recent news, analyst sentiment, and stock price data to round out the preview.Let me check for analyst estimates/consensus and any recent news via web search.I have what I need. Here's the earnings preview.</w:t>
      </w:r>
    </w:p>
    <w:p>
      <w:r>
        <w:pict>
          <v:rect style="width:0;height:1.5pt" o:hralign="center" o:hrstd="t" o:hr="t"/>
        </w:pict>
      </w:r>
    </w:p>
    <w:bookmarkStart w:id="21" w:name="Xd169676c1c4659da90e9d750d297afc35c5b496"/>
    <w:p>
      <w:pPr>
        <w:pStyle w:val="Heading1"/>
      </w:pPr>
      <w:r>
        <w:t xml:space="preserve">Huntington Bancshares (HBAN) — Q2 2026 Earnings Preview</w:t>
      </w:r>
    </w:p>
    <w:bookmarkStart w:id="9" w:name="Xed82b406b4ca48cd573af1a3c3dcdc2bea2c1d5"/>
    <w:p>
      <w:pPr>
        <w:pStyle w:val="Heading3"/>
      </w:pPr>
      <w:r>
        <w:t xml:space="preserve">Report: Thursday, July 23, 2026 (before open) | Call 9:00 a.m. ET</w:t>
      </w:r>
    </w:p>
    <w:bookmarkEnd w:id="9"/>
    <w:bookmarkStart w:id="10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Huntington heads into Q2 as a newly-scaled ~</w:t>
      </w:r>
      <w:r>
        <w:t xml:space="preserve">$285 billion super-regional in the middle of digesting two large partnerships (Veritex and Cadence). Management has told the Street the 2026 story is "on track," so this print is less about a headline beat/miss and more about **proof of execution** on integration, synergies, and the back-half margin ramp that underpins an ambitious 2027 target. Consensus is looking for **adjusted EPS of ~$</w:t>
      </w:r>
      <w:r>
        <w:t xml:space="preserve">0.39 on revenue of ~$2.84B**, versus $0.34 adjusted a year ago.</w:t>
      </w:r>
    </w:p>
    <w:bookmarkEnd w:id="10"/>
    <w:bookmarkStart w:id="11" w:name="why-this-quarter-matters-more-than-most"/>
    <w:p>
      <w:pPr>
        <w:pStyle w:val="Heading2"/>
      </w:pPr>
      <w:r>
        <w:t xml:space="preserve">Why this quarter matters more than most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 full quarter with Cadence.</w:t>
      </w:r>
      <w:r>
        <w:t xml:space="preserve"> </w:t>
      </w:r>
      <w:r>
        <w:t xml:space="preserve">The Cadence deal closed Feb. 1, 2026, so Q1 only captured two months. Q2 is the first clean run-rate quarter for the combined balance sheet — average loans (~</w:t>
      </w:r>
      <m:oMath>
        <m:r>
          <m:t>174</m:t>
        </m:r>
        <m:r>
          <m:t>B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t>d</m:t>
        </m:r>
        <m:r>
          <m:t>e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s</m:t>
        </m:r>
        <m:r>
          <m:rPr>
            <m:sty m:val="p"/>
          </m:rPr>
          <m:t>(</m:t>
        </m:r>
        <m:r>
          <m:t> </m:t>
        </m:r>
      </m:oMath>
      <w:r>
        <w:t xml:space="preserve">205B in Q1) should step up again sequentially.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Cadence systems conversion (June).</w:t>
      </w:r>
      <w:r>
        <w:t xml:space="preserve"> </w:t>
      </w:r>
      <w:r>
        <w:t xml:space="preserve">Management guided the conversion to complete in June, marking "the final major milestone" of integration. Watch for confirmation it went smoothly (conversions are the highest-risk operational event) and any commentary on customer attrition/deposit runoff.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Veritex synergies hit full run-rate.</w:t>
      </w:r>
      <w:r>
        <w:t xml:space="preserve"> </w:t>
      </w:r>
      <w:r>
        <w:t xml:space="preserve">Management said Veritex cost synergies would be fully reflected in the run rate in Q2 — so this is the first quarter you should start to see the expense-side benefits show up.</w:t>
      </w:r>
    </w:p>
    <w:bookmarkEnd w:id="11"/>
    <w:bookmarkStart w:id="17" w:name="key-debates-going-in"/>
    <w:p>
      <w:pPr>
        <w:pStyle w:val="Heading2"/>
      </w:pPr>
      <w:r>
        <w:t xml:space="preserve">Key debates going in</w:t>
      </w:r>
    </w:p>
    <w:bookmarkStart w:id="12" w:name="X6ebab10349d494653aa48b2be6d85b942f6233a"/>
    <w:p>
      <w:pPr>
        <w:pStyle w:val="Heading3"/>
      </w:pPr>
      <w:r>
        <w:t xml:space="preserve">1. Net interest margin — did they hold "high-3.20s"?</w:t>
      </w:r>
    </w:p>
    <w:p>
      <w:pPr>
        <w:pStyle w:val="FirstParagraph"/>
      </w:pPr>
      <w:r>
        <w:t xml:space="preserve">NIM was</w:t>
      </w:r>
      <w:r>
        <w:t xml:space="preserve"> </w:t>
      </w:r>
      <w:r>
        <w:rPr>
          <w:b/>
          <w:bCs/>
        </w:rPr>
        <w:t xml:space="preserve">3.24% in Q1</w:t>
      </w:r>
      <w:r>
        <w:t xml:space="preserve">, but management cut the full-year outlook to the</w:t>
      </w:r>
      <w:r>
        <w:t xml:space="preserve"> </w:t>
      </w:r>
      <w:r>
        <w:rPr>
          <w:b/>
          <w:bCs/>
        </w:rPr>
        <w:t xml:space="preserve">high-3.20s</w:t>
      </w:r>
      <w:r>
        <w:t xml:space="preserve"> </w:t>
      </w:r>
      <w:r>
        <w:t xml:space="preserve">(from mid-3.30s), attributing ~5bp to a deliberate ~$4B build of Fed cash (a liquidity hedge tied to Middle East risk, revenue-neutral) and ~2–3bp to slightly firmer deposit costs / asset optimization. They also flagged</w:t>
      </w:r>
      <w:r>
        <w:t xml:space="preserve"> </w:t>
      </w:r>
      <w:r>
        <w:rPr>
          <w:b/>
          <w:bCs/>
        </w:rPr>
        <w:t xml:space="preserve">quarter-to-quarter NIM noise</w:t>
      </w:r>
      <w:r>
        <w:t xml:space="preserve"> </w:t>
      </w:r>
      <w:r>
        <w:t xml:space="preserve">as they optimize the Cadence book, and reiterated</w:t>
      </w:r>
      <w:r>
        <w:t xml:space="preserve"> </w:t>
      </w:r>
      <w:r>
        <w:rPr>
          <w:b/>
          <w:bCs/>
        </w:rPr>
        <w:t xml:space="preserve">NIM should rise in the back half</w:t>
      </w:r>
      <w:r>
        <w:t xml:space="preserve">. The question: does the Fed-cash drag and Cadence purchase-accounting create a soft Q2 print, and is management still pointing to a H2 inflection?</w:t>
      </w:r>
    </w:p>
    <w:bookmarkEnd w:id="12"/>
    <w:bookmarkStart w:id="13" w:name="X46e6442c48c2024b80fa6d5fcdcf1d428ab3b84"/>
    <w:p>
      <w:pPr>
        <w:pStyle w:val="Heading3"/>
      </w:pPr>
      <w:r>
        <w:t xml:space="preserve">2. Fees — can the momentum continue after a record Q1?</w:t>
      </w:r>
    </w:p>
    <w:p>
      <w:pPr>
        <w:pStyle w:val="FirstParagraph"/>
      </w:pPr>
      <w:r>
        <w:t xml:space="preserve">Fee income was the standout last quarter. Management</w:t>
      </w:r>
      <w:r>
        <w:t xml:space="preserve"> </w:t>
      </w:r>
      <w:r>
        <w:rPr>
          <w:b/>
          <w:bCs/>
        </w:rPr>
        <w:t xml:space="preserve">raised full-year fee growth guidance to 31–33%</w:t>
      </w:r>
      <w:r>
        <w:t xml:space="preserve"> </w:t>
      </w:r>
      <w:r>
        <w:t xml:space="preserve">on the back of a</w:t>
      </w:r>
      <w:r>
        <w:t xml:space="preserve"> </w:t>
      </w:r>
      <w:r>
        <w:rPr>
          <w:b/>
          <w:bCs/>
        </w:rPr>
        <w:t xml:space="preserve">record capital markets quarter</w:t>
      </w:r>
      <w:r>
        <w:t xml:space="preserve"> </w:t>
      </w:r>
      <w:r>
        <w:t xml:space="preserve">(organic revenue +~60% YoY),</w:t>
      </w:r>
      <w:r>
        <w:t xml:space="preserve"> </w:t>
      </w:r>
      <w:r>
        <w:rPr>
          <w:b/>
          <w:bCs/>
        </w:rPr>
        <w:t xml:space="preserve">payments +21%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wealth +19%</w:t>
      </w:r>
      <w:r>
        <w:t xml:space="preserve">. That's a tough comp. Watch:</w:t>
      </w:r>
    </w:p>
    <w:p>
      <w:pPr>
        <w:pStyle w:val="Compact"/>
        <w:numPr>
          <w:ilvl w:val="0"/>
          <w:numId w:val="1002"/>
        </w:numPr>
      </w:pPr>
      <w:r>
        <w:t xml:space="preserve">Whether</w:t>
      </w:r>
      <w:r>
        <w:t xml:space="preserve"> </w:t>
      </w:r>
      <w:r>
        <w:rPr>
          <w:b/>
          <w:bCs/>
        </w:rPr>
        <w:t xml:space="preserve">capital markets</w:t>
      </w:r>
      <w:r>
        <w:t xml:space="preserve"> </w:t>
      </w:r>
      <w:r>
        <w:t xml:space="preserve">can sustain the elevated run rate (loan syndications, advisory including the TM Capital/Janney additions, trading).</w:t>
      </w:r>
    </w:p>
    <w:p>
      <w:pPr>
        <w:pStyle w:val="Compact"/>
        <w:numPr>
          <w:ilvl w:val="0"/>
          <w:numId w:val="1002"/>
        </w:numPr>
      </w:pPr>
      <w:r>
        <w:t xml:space="preserve">Early</w:t>
      </w:r>
      <w:r>
        <w:t xml:space="preserve"> </w:t>
      </w:r>
      <w:r>
        <w:rPr>
          <w:b/>
          <w:bCs/>
        </w:rPr>
        <w:t xml:space="preserve">revenue synergies</w:t>
      </w:r>
      <w:r>
        <w:t xml:space="preserve"> </w:t>
      </w:r>
      <w:r>
        <w:t xml:space="preserve">from cross-selling payments/capital markets/wealth into the Cadence and Veritex footprints (management framed $50–75M for the year).</w:t>
      </w:r>
    </w:p>
    <w:bookmarkEnd w:id="13"/>
    <w:bookmarkStart w:id="14" w:name="X0c495b2222424cd4c68820ab7b61954669b31ff"/>
    <w:p>
      <w:pPr>
        <w:pStyle w:val="Heading3"/>
      </w:pPr>
      <w:r>
        <w:t xml:space="preserve">3. Expenses &amp; the path to the Q4 efficiency target</w:t>
      </w:r>
    </w:p>
    <w:p>
      <w:pPr>
        <w:pStyle w:val="FirstParagraph"/>
      </w:pPr>
      <w:r>
        <w:t xml:space="preserve">Management is running a "value-creation flywheel" — 7 straight years of cutting &gt;1% of the cost base while reinvesting. They</w:t>
      </w:r>
      <w:r>
        <w:t xml:space="preserve"> </w:t>
      </w:r>
      <w:r>
        <w:rPr>
          <w:b/>
          <w:bCs/>
        </w:rPr>
        <w:t xml:space="preserve">tightened 2026 expense growth to the lower half of the 32.5–33.5% range</w:t>
      </w:r>
      <w:r>
        <w:t xml:space="preserve"> </w:t>
      </w:r>
      <w:r>
        <w:t xml:space="preserve">and took ~$50M of incremental "tuning" actions, targeting a</w:t>
      </w:r>
      <w:r>
        <w:t xml:space="preserve"> </w:t>
      </w:r>
      <w:r>
        <w:rPr>
          <w:b/>
          <w:bCs/>
        </w:rPr>
        <w:t xml:space="preserve">Q4 efficiency ratio in the mid-to-low 54%</w:t>
      </w:r>
      <w:r>
        <w:t xml:space="preserve"> </w:t>
      </w:r>
      <w:r>
        <w:t xml:space="preserve">(improved from "&lt;55%") and</w:t>
      </w:r>
      <w:r>
        <w:t xml:space="preserve"> </w:t>
      </w:r>
      <w:r>
        <w:rPr>
          <w:b/>
          <w:bCs/>
        </w:rPr>
        <w:t xml:space="preserve">full-year operating leverage of 400–450bp</w:t>
      </w:r>
      <w:r>
        <w:t xml:space="preserve">. Q2 is a checkpoint — watch adjusted expense trajectory and any update to the AI/agentic-process efficiency program they're leaning into.</w:t>
      </w:r>
    </w:p>
    <w:bookmarkEnd w:id="14"/>
    <w:bookmarkStart w:id="15" w:name="Xc1284686bbab98d65d8b19bfcf27ec195454b2d"/>
    <w:p>
      <w:pPr>
        <w:pStyle w:val="Heading3"/>
      </w:pPr>
      <w:r>
        <w:t xml:space="preserve">4. Credit — normalizing, with Cadence marks in the mix</w:t>
      </w:r>
    </w:p>
    <w:p>
      <w:pPr>
        <w:pStyle w:val="FirstParagraph"/>
      </w:pPr>
      <w:r>
        <w:t xml:space="preserve">Credit remains benign but the acquired books added noise: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NCOs 26bp</w:t>
      </w:r>
      <w:r>
        <w:t xml:space="preserve"> </w:t>
      </w:r>
      <w:r>
        <w:t xml:space="preserve">in Q1 (guide</w:t>
      </w:r>
      <w:r>
        <w:t xml:space="preserve"> </w:t>
      </w:r>
      <w:r>
        <w:rPr>
          <w:b/>
          <w:bCs/>
        </w:rPr>
        <w:t xml:space="preserve">25–35bp</w:t>
      </w:r>
      <w:r>
        <w:t xml:space="preserve"> </w:t>
      </w:r>
      <w:r>
        <w:t xml:space="preserve">for the year); management flagged this as well below peers.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NPA ratio rose to 0.72%</w:t>
      </w:r>
      <w:r>
        <w:t xml:space="preserve"> </w:t>
      </w:r>
      <w:r>
        <w:t xml:space="preserve">and NALs jumped ~43% QoQ, largely from acquired Cadence/Veritex loans — expect continued digestion here.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ACL at 1.78%</w:t>
      </w:r>
      <w:r>
        <w:t xml:space="preserve"> </w:t>
      </w:r>
      <w:r>
        <w:t xml:space="preserve">of loans (reserve build driven by Cadence).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CRE/construction</w:t>
      </w:r>
      <w:r>
        <w:t xml:space="preserve"> </w:t>
      </w:r>
      <w:r>
        <w:t xml:space="preserve">is the area management is deliberately shrinking as a % of the book over the next 2+ years. Watch criticized-asset and CRE trends for any drift.</w:t>
      </w:r>
    </w:p>
    <w:bookmarkEnd w:id="15"/>
    <w:bookmarkStart w:id="16" w:name="Xce6aeafb898c9f845dbd35483d20f60652af975"/>
    <w:p>
      <w:pPr>
        <w:pStyle w:val="Heading3"/>
      </w:pPr>
      <w:r>
        <w:t xml:space="preserve">5. Capital &amp; buybacks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CET1 10.2%</w:t>
      </w:r>
      <w:r>
        <w:t xml:space="preserve"> </w:t>
      </w:r>
      <w:r>
        <w:t xml:space="preserve">(adjusted, incl. AOCI ex-hedges, 9.2%) — within the 9–10% target.</w:t>
      </w:r>
    </w:p>
    <w:p>
      <w:pPr>
        <w:pStyle w:val="Compact"/>
        <w:numPr>
          <w:ilvl w:val="0"/>
          <w:numId w:val="1004"/>
        </w:numPr>
      </w:pPr>
      <w:r>
        <w:t xml:space="preserve">Board approved a</w:t>
      </w:r>
      <w:r>
        <w:t xml:space="preserve"> </w:t>
      </w:r>
      <m:oMath>
        <m:r>
          <m:t>3</m:t>
        </m:r>
        <m:r>
          <m:t>B</m:t>
        </m:r>
        <m:r>
          <m:t>e</m:t>
        </m:r>
        <m:r>
          <m:t>v</m:t>
        </m:r>
        <m:r>
          <m:t>e</m:t>
        </m:r>
        <m:r>
          <m:t>r</m:t>
        </m:r>
        <m:r>
          <m:t>g</m:t>
        </m:r>
        <m:r>
          <m:t>r</m:t>
        </m:r>
        <m:r>
          <m:t>e</m:t>
        </m:r>
        <m:r>
          <m:t>e</m:t>
        </m:r>
        <m:r>
          <m:t>n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t</m:t>
        </m:r>
        <m:r>
          <m:t>h</m:t>
        </m:r>
        <m:r>
          <m:t>e</m:t>
        </m:r>
        <m:r>
          <m:t>a</m:t>
        </m:r>
        <m:r>
          <m:t>c</m:t>
        </m:r>
        <m:r>
          <m:t>t</m:t>
        </m:r>
        <m:r>
          <m:t>u</m:t>
        </m:r>
        <m:r>
          <m:t>a</m:t>
        </m:r>
        <m:r>
          <m:t>l</m:t>
        </m:r>
        <m:r>
          <m:t>2026</m:t>
        </m:r>
        <m:r>
          <m:t>p</m:t>
        </m:r>
        <m:r>
          <m:t>a</m:t>
        </m:r>
        <m:r>
          <m:t>c</m:t>
        </m:r>
        <m:r>
          <m:t>e</m:t>
        </m:r>
        <m:r>
          <m:t>r</m:t>
        </m:r>
        <m:r>
          <m:t>e</m:t>
        </m:r>
        <m:r>
          <m:t>m</m:t>
        </m:r>
        <m:r>
          <m:t>a</m:t>
        </m:r>
        <m:r>
          <m:t>i</m:t>
        </m:r>
        <m:r>
          <m:t>n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550M</w:t>
      </w:r>
      <w:r>
        <w:t xml:space="preserve"> </w:t>
      </w:r>
      <w:r>
        <w:t xml:space="preserve">(~$250M done through the Q1 call). Watch for an updated YTD repurchase figure and whether the pace picks up.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Basel III Endgame</w:t>
      </w:r>
      <w:r>
        <w:t xml:space="preserve"> </w:t>
      </w:r>
      <w:r>
        <w:t xml:space="preserve">is a potential tailwind — management estimates ~7.5–8% RWA reduction / ~80bp CET1 benefit, which they've tied to incremental 2027 capital return. Any update on timing/impact is a swing factor.</w:t>
      </w:r>
    </w:p>
    <w:p>
      <w:pPr>
        <w:pStyle w:val="Compact"/>
        <w:numPr>
          <w:ilvl w:val="0"/>
          <w:numId w:val="1004"/>
        </w:numPr>
      </w:pPr>
      <w:r>
        <w:t xml:space="preserve">Q2 share count guided to</w:t>
      </w:r>
      <w:r>
        <w:t xml:space="preserve"> </w:t>
      </w:r>
      <w:r>
        <w:rPr>
          <w:b/>
          <w:bCs/>
        </w:rPr>
        <w:t xml:space="preserve">~2.055B</w:t>
      </w:r>
      <w:r>
        <w:t xml:space="preserve">.</w:t>
      </w:r>
    </w:p>
    <w:bookmarkEnd w:id="16"/>
    <w:bookmarkEnd w:id="17"/>
    <w:bookmarkStart w:id="18" w:name="X47f329b2ab3691c9216c15736f50f0fcfbfea6d"/>
    <w:p>
      <w:pPr>
        <w:pStyle w:val="Heading2"/>
      </w:pPr>
      <w:r>
        <w:t xml:space="preserve">The bigger picture: an "inflection point" story</w:t>
      </w:r>
    </w:p>
    <w:p>
      <w:pPr>
        <w:pStyle w:val="FirstParagraph"/>
      </w:pPr>
      <w:r>
        <w:t xml:space="preserve">Management is explicitly framing 2026 as the year the franchise approaches an inflection, with Q4 as the "clean" run-rate quarter that fully reflects both Veritex and Cadence cost synergies. The anchor is a</w:t>
      </w:r>
      <w:r>
        <w:t xml:space="preserve"> </w:t>
      </w:r>
      <w:r>
        <w:rPr>
          <w:b/>
          <w:bCs/>
        </w:rPr>
        <w:t xml:space="preserve">2027 EPS target of</w:t>
      </w:r>
      <w:r>
        <w:rPr>
          <w:b/>
          <w:bCs/>
        </w:rPr>
        <w:t xml:space="preserve"> </w:t>
      </w:r>
      <m:oMath>
        <m:r>
          <m:t>1.90</m:t>
        </m:r>
        <m:r>
          <m:rPr>
            <m:sty m:val="p"/>
          </m:rPr>
          <m:t>–</m:t>
        </m:r>
      </m:oMath>
      <w:r>
        <w:rPr>
          <w:b/>
          <w:bCs/>
        </w:rPr>
        <w:t xml:space="preserve">1.93 and ROTCE of 18–19%</w:t>
      </w:r>
      <w:r>
        <w:t xml:space="preserve"> </w:t>
      </w:r>
      <w:r>
        <w:t xml:space="preserve">(raised from 16–17%). Everything on this call will be measured against credibility toward that bridge. On the M&amp;A question, Steinour was clear the focus is organic — no large deals imminent.</w:t>
      </w:r>
    </w:p>
    <w:bookmarkEnd w:id="18"/>
    <w:bookmarkStart w:id="19" w:name="stock-context--the-show-me-gap"/>
    <w:p>
      <w:pPr>
        <w:pStyle w:val="Heading2"/>
      </w:pPr>
      <w:r>
        <w:t xml:space="preserve">Stock context — the "show me" gap</w:t>
      </w:r>
    </w:p>
    <w:p>
      <w:pPr>
        <w:pStyle w:val="FirstParagraph"/>
      </w:pPr>
      <w:r>
        <w:t xml:space="preserve">Despite reiterated guidance,</w:t>
      </w:r>
      <w:r>
        <w:t xml:space="preserve"> </w:t>
      </w:r>
      <w:r>
        <w:rPr>
          <w:b/>
          <w:bCs/>
        </w:rPr>
        <w:t xml:space="preserve">HBAN has notably lagged its regional-bank peers in 2026.</w:t>
      </w:r>
      <w:r>
        <w:t xml:space="preserve"> </w:t>
      </w:r>
      <w:r>
        <w:t xml:space="preserve">The stock is roughly</w:t>
      </w:r>
      <w:r>
        <w:t xml:space="preserve"> </w:t>
      </w:r>
      <w:r>
        <w:rPr>
          <w:b/>
          <w:bCs/>
        </w:rPr>
        <w:t xml:space="preserve">+4–5% YTD</w:t>
      </w:r>
      <w:r>
        <w:t xml:space="preserve"> </w:t>
      </w:r>
      <w:r>
        <w:t xml:space="preserve">(from ~</w:t>
      </w:r>
      <m:oMath>
        <m:r>
          <m:t>17.48</m:t>
        </m:r>
        <m:r>
          <m:t>t</m:t>
        </m:r>
        <m:r>
          <m:t>o</m:t>
        </m:r>
        <m:r>
          <m:t> </m:t>
        </m:r>
      </m:oMath>
      <w:r>
        <w:t xml:space="preserve">18.29), versus the KRE regional-bank ETF up ~</w:t>
      </w:r>
      <w:r>
        <w:rPr>
          <w:b/>
          <w:bCs/>
        </w:rPr>
        <w:t xml:space="preserve">16%</w:t>
      </w:r>
      <w:r>
        <w:t xml:space="preserve"> </w:t>
      </w:r>
      <w:r>
        <w:t xml:space="preserve">over the same span — a gap CFO Zach Wasserman openly called "frustrating" on the Q1 call, arguing the fundamentals aren't reflected in the valuation. Shares did recover from a March low near</w:t>
      </w:r>
      <w:r>
        <w:t xml:space="preserve"> </w:t>
      </w:r>
      <m:oMath>
        <m:r>
          <m:t>15</m:t>
        </m:r>
        <m:r>
          <m:t>a</m:t>
        </m:r>
        <m:r>
          <m:t>n</m:t>
        </m:r>
        <m:r>
          <m:t>d</m:t>
        </m:r>
        <m:r>
          <m:t>h</m:t>
        </m:r>
        <m:r>
          <m:t>a</m:t>
        </m:r>
        <m:r>
          <m:t>v</m:t>
        </m:r>
        <m:r>
          <m:t>e</m:t>
        </m:r>
        <m:r>
          <m:t>f</m:t>
        </m:r>
        <m:r>
          <m:t>i</m:t>
        </m:r>
        <m:r>
          <m:t>r</m:t>
        </m:r>
        <m:r>
          <m:t>m</m:t>
        </m:r>
        <m:r>
          <m:t>e</m:t>
        </m:r>
        <m:r>
          <m:t>d</m:t>
        </m:r>
        <m:r>
          <m:t>i</m:t>
        </m:r>
        <m:r>
          <m:t>n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rPr>
            <m:sty m:val="p"/>
          </m:rPr>
          <m:t>(</m:t>
        </m:r>
        <m:r>
          <m:t> </m:t>
        </m:r>
      </m:oMath>
      <w:r>
        <w:t xml:space="preserve">18.3). That underperformance sets up an asymmetric reaction: the market appears skeptical, so</w:t>
      </w:r>
      <w:r>
        <w:t xml:space="preserve"> </w:t>
      </w:r>
      <w:r>
        <w:rPr>
          <w:b/>
          <w:bCs/>
        </w:rPr>
        <w:t xml:space="preserve">clean execution on synergies + a credible H2 margin ramp could be the catalyst to close the gap</w:t>
      </w:r>
      <w:r>
        <w:t xml:space="preserve">, while any wobble on the Cadence conversion, deposit costs, or credit in the acquired books would validate the discount.</w:t>
      </w:r>
    </w:p>
    <w:bookmarkEnd w:id="19"/>
    <w:bookmarkStart w:id="20" w:name="X947232165ddb64122d9dd0efd7e193d3766faa6"/>
    <w:p>
      <w:pPr>
        <w:pStyle w:val="Heading2"/>
      </w:pPr>
      <w:r>
        <w:t xml:space="preserve">What I'd watch on the call (quick checklist)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Q1 2026 actual</w:t>
            </w:r>
          </w:p>
        </w:tc>
        <w:tc>
          <w:tcPr/>
          <w:p>
            <w:pPr>
              <w:pStyle w:val="Compact"/>
            </w:pPr>
            <w:r>
              <w:t xml:space="preserve">What to look for in Q2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$0.37</w:t>
            </w:r>
          </w:p>
        </w:tc>
        <w:tc>
          <w:tcPr/>
          <w:p>
            <w:pPr>
              <w:pStyle w:val="Compact"/>
            </w:pPr>
            <w:r>
              <w:t xml:space="preserve">Consensus ~</w:t>
            </w:r>
            <m:oMath>
              <m:r>
                <m:t>0.39</m:t>
              </m:r>
              <m:r>
                <m:rPr>
                  <m:sty m:val="p"/>
                </m:rPr>
                <m:t>;</m:t>
              </m:r>
              <m:r>
                <m:t>t</m:t>
              </m:r>
              <m:r>
                <m:t>r</m:t>
              </m:r>
              <m:r>
                <m:t>a</m:t>
              </m:r>
              <m:r>
                <m:t>j</m:t>
              </m:r>
              <m:r>
                <m:t>e</m:t>
              </m:r>
              <m:r>
                <m:t>c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 </m:t>
              </m:r>
            </m:oMath>
            <w:r>
              <w:t xml:space="preserve">1.62 FY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NIM</w:t>
            </w:r>
          </w:p>
        </w:tc>
        <w:tc>
          <w:tcPr/>
          <w:p>
            <w:pPr>
              <w:pStyle w:val="Compact"/>
            </w:pPr>
            <w:r>
              <w:t xml:space="preserve">3.24%</w:t>
            </w:r>
          </w:p>
        </w:tc>
        <w:tc>
          <w:tcPr/>
          <w:p>
            <w:pPr>
              <w:pStyle w:val="Compact"/>
            </w:pPr>
            <w:r>
              <w:t xml:space="preserve">Hold high-3.20s; H2 rise reaffirmed?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Fee income</w:t>
            </w:r>
          </w:p>
        </w:tc>
        <w:tc>
          <w:tcPr/>
          <w:p>
            <w:pPr>
              <w:pStyle w:val="Compact"/>
            </w:pPr>
            <w:r>
              <w:t xml:space="preserve">$682M (+38% YoY)</w:t>
            </w:r>
          </w:p>
        </w:tc>
        <w:tc>
          <w:tcPr/>
          <w:p>
            <w:pPr>
              <w:pStyle w:val="Compact"/>
            </w:pPr>
            <w:r>
              <w:t xml:space="preserve">Capital markets sustainability; 31–33% FY guide intact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expenses</w:t>
            </w:r>
          </w:p>
        </w:tc>
        <w:tc>
          <w:tcPr/>
          <w:p>
            <w:pPr>
              <w:pStyle w:val="Compact"/>
            </w:pPr>
            <w:r>
              <w:t xml:space="preserve">$1,511M</w:t>
            </w:r>
          </w:p>
        </w:tc>
        <w:tc>
          <w:tcPr/>
          <w:p>
            <w:pPr>
              <w:pStyle w:val="Compact"/>
            </w:pPr>
            <w:r>
              <w:t xml:space="preserve">Progress toward mid/low-54% Q4 efficiency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NCOs / NPAs</w:t>
            </w:r>
          </w:p>
        </w:tc>
        <w:tc>
          <w:tcPr/>
          <w:p>
            <w:pPr>
              <w:pStyle w:val="Compact"/>
            </w:pPr>
            <w:r>
              <w:t xml:space="preserve">0.26% / 0.72%</w:t>
            </w:r>
          </w:p>
        </w:tc>
        <w:tc>
          <w:tcPr/>
          <w:p>
            <w:pPr>
              <w:pStyle w:val="Compact"/>
            </w:pPr>
            <w:r>
              <w:t xml:space="preserve">Acquired-book digestion; CRE/construction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CET1</w:t>
            </w:r>
          </w:p>
        </w:tc>
        <w:tc>
          <w:tcPr/>
          <w:p>
            <w:pPr>
              <w:pStyle w:val="Compact"/>
            </w:pPr>
            <w:r>
              <w:t xml:space="preserve">10.2%</w:t>
            </w:r>
          </w:p>
        </w:tc>
        <w:tc>
          <w:tcPr/>
          <w:p>
            <w:pPr>
              <w:pStyle w:val="Compact"/>
            </w:pPr>
            <w:r>
              <w:t xml:space="preserve">Buyback pace; Basel III commentary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Loan/deposit growth</w:t>
            </w:r>
          </w:p>
        </w:tc>
        <w:tc>
          <w:tcPr/>
          <w:p>
            <w:pPr>
              <w:pStyle w:val="Compact"/>
            </w:pPr>
            <w:r>
              <w:t xml:space="preserve">Loans +1.5%, core deposits +2.3% QoQ (ex-Cadence)</w:t>
            </w:r>
          </w:p>
        </w:tc>
        <w:tc>
          <w:tcPr/>
          <w:p>
            <w:pPr>
              <w:pStyle w:val="Compact"/>
            </w:pPr>
            <w:r>
              <w:t xml:space="preserve">Organic momentum; deposit cost/betas</w:t>
            </w:r>
          </w:p>
        </w:tc>
      </w:tr>
    </w:tbl>
    <w:p>
      <w:pPr>
        <w:pStyle w:val="BodyText"/>
      </w:pPr>
      <w:r>
        <w:rPr>
          <w:b/>
          <w:bCs/>
        </w:rPr>
        <w:t xml:space="preserve">Bottom line:</w:t>
      </w:r>
      <w:r>
        <w:t xml:space="preserve"> </w:t>
      </w:r>
      <w:r>
        <w:t xml:space="preserve">This is a milestone-verification quarter. The bar on headline EPS is modest (~$0.39), but the report needs to reinforce three things to move a lagging stock — a clean Cadence conversion, sustained fee momentum, and a credible glide path to the Q4 efficiency and 2027 return targets. Confirmation on those, plus any lift to the buyback/Basel III capital-return narrative, is what bulls are counting on; the risk is that "on track but a touch softer" (NIM, deposit costs, rising acquired-book NPAs) keeps the valuation discount intact.</w:t>
      </w:r>
    </w:p>
    <w:p>
      <w:pPr>
        <w:pStyle w:val="BodyText"/>
      </w:pPr>
      <w:r>
        <w:rPr>
          <w:i/>
          <w:iCs/>
        </w:rPr>
        <w:t xml:space="preserve">Note: Figures above are drawn from Huntington's Q1 2026 earnings release and call and third-party consensus estimates ahead of the report; actual Q2 results and any guidance revisions will be the real drivers.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2026-07-23T00:38:58Z</dcterms:created>
  <dcterms:modified xsi:type="dcterms:W3CDTF">2026-07-23T00:38:58Z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