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ban-earnings-predictions--2026-07-23"/>
    <w:p>
      <w:pPr>
        <w:pStyle w:val="Heading1"/>
      </w:pPr>
      <w:r>
        <w:t xml:space="preserve">HBAN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~$0.40 vs. cons $0.39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~$1.95B vs. cons $1.91B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(Fee)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~$650M vs. cons $680M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Interest 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~3.27% vs. cons 3.31%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guidance/consensus path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~$1.59 vs. cons $1.62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Fee income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~29% vs. cons 32%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EPS target reiteration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1.90</m:t>
              </m:r>
              <m:r>
                <m:rPr>
                  <m:sty m:val="p"/>
                </m:rPr>
                <m:t>−</m:t>
              </m:r>
            </m:oMath>
            <w:r>
              <w:t xml:space="preserve">1.93 vs. cons $1.91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Share repurchase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~$550M vs. prior guide $550M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-2.8% (FADE)</w:t>
            </w:r>
          </w:p>
        </w:tc>
        <w:tc>
          <w:tcPr/>
          <w:p>
            <w:pPr>
              <w:pStyle w:val="Compact"/>
            </w:pPr>
            <w:r>
              <w:t xml:space="preserve">Stock ran ~16% from June lows into the print, already pricing a clean Cadence conversion and continued fee momentum, so even a modest headline EPS beat likely triggers a 'sell-the-news' dip on day 1. Over the week, we expect analysts to trim FY26/FY27 NIM and fee-growth assumptions (elevated Fed cash balance persisting, tough capital-markets comp after Q1's record quarter, and reiterated-but-not-raised 2027 targets), pulling out-period estimates down and extending the initial pullback into a fade rather than stabilization.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2026-07-23T00:39:57Z</dcterms:created>
  <dcterms:modified xsi:type="dcterms:W3CDTF">2026-07-23T00:39:57Z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