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3" w:name="Xd169676c1c4659da90e9d750d297afc35c5b496"/>
    <w:p>
      <w:pPr>
        <w:pStyle w:val="Heading1"/>
      </w:pPr>
      <w:r>
        <w:t xml:space="preserve">Huntington Bancshares (HBAN) — Q2 2026 Earnings Preview</w:t>
      </w:r>
    </w:p>
    <w:p>
      <w:pPr>
        <w:pStyle w:val="FirstParagraph"/>
      </w:pPr>
      <w:r>
        <w:rPr>
          <w:b/>
          <w:bCs/>
        </w:rPr>
        <w:t xml:space="preserve">Report date:</w:t>
      </w:r>
      <w:r>
        <w:t xml:space="preserve"> </w:t>
      </w:r>
      <w:r>
        <w:t xml:space="preserve">Thursday, July 23, 2026, before market open |</w:t>
      </w:r>
      <w:r>
        <w:t xml:space="preserve"> </w:t>
      </w:r>
      <w:r>
        <w:rPr>
          <w:b/>
          <w:bCs/>
        </w:rPr>
        <w:t xml:space="preserve">Call:</w:t>
      </w:r>
      <w:r>
        <w:t xml:space="preserve"> </w:t>
      </w:r>
      <w:r>
        <w:t xml:space="preserve">9:00 a.m. ET</w:t>
      </w:r>
    </w:p>
    <w:bookmarkStart w:id="9" w:name="setup"/>
    <w:p>
      <w:pPr>
        <w:pStyle w:val="Heading2"/>
      </w:pPr>
      <w:r>
        <w:t xml:space="preserve">Setup</w:t>
      </w:r>
    </w:p>
    <w:p>
      <w:pPr>
        <w:pStyle w:val="FirstParagraph"/>
      </w:pPr>
      <w:r>
        <w:t xml:space="preserve">HBAN enters this print in the middle of digesting two large partnerships — Veritex Holdings and Cadence Bank — that have transformed the balance sheet over the past nine months. The Q1 2026 report (April 23) showed a bank whose reported numbers are heavily distorted by deal noise but whose underlying (adjusted) trends were strong: net income for the 2026 first quarter was $523 million, or $0.25 per common share, inclusive of $271 million of pre-tax Notable Items in the first quarter, primarily due to acquisition-related expenses, while adjusted EPS was $0.37, unchanged from the prior quarter and higher by $0.03 from the year-ago quarter.</w:t>
      </w:r>
    </w:p>
    <w:p>
      <w:pPr>
        <w:pStyle w:val="BodyText"/>
      </w:pPr>
      <w:r>
        <w:t xml:space="preserve">Stock performance has been volatile in 2026 — shares fell from ~$17.5 in early January to a trough near</w:t>
      </w:r>
      <w:r>
        <w:t xml:space="preserve"> </w:t>
      </w:r>
      <m:oMath>
        <m:r>
          <m:t>15</m:t>
        </m:r>
        <m:r>
          <m:t>i</m:t>
        </m:r>
        <m:r>
          <m:t>n</m:t>
        </m:r>
        <m:r>
          <m:t>m</m:t>
        </m:r>
        <m:r>
          <m:t>i</m:t>
        </m:r>
        <m:r>
          <m:t>d</m:t>
        </m:r>
        <m:r>
          <m:rPr>
            <m:sty m:val="p"/>
          </m:rPr>
          <m:t>−</m:t>
        </m:r>
        <m:r>
          <m:t>M</m:t>
        </m:r>
        <m:r>
          <m:t>a</m:t>
        </m:r>
        <m:r>
          <m:t>r</m:t>
        </m:r>
        <m:r>
          <m:t>c</m:t>
        </m:r>
        <m:r>
          <m:t>h</m:t>
        </m:r>
        <m:r>
          <m:rPr>
            <m:sty m:val="p"/>
          </m:rPr>
          <m:t>,</m:t>
        </m:r>
        <m:r>
          <m:t>b</m:t>
        </m:r>
        <m:r>
          <m:t>e</m:t>
        </m:r>
        <m:r>
          <m:t>f</m:t>
        </m:r>
        <m:r>
          <m:t>o</m:t>
        </m:r>
        <m:r>
          <m:t>r</m:t>
        </m:r>
        <m:r>
          <m:t>e</m:t>
        </m:r>
        <m:r>
          <m:t>r</m:t>
        </m:r>
        <m:r>
          <m:t>e</m:t>
        </m:r>
        <m:r>
          <m:t>c</m:t>
        </m:r>
        <m:r>
          <m:t>o</m:t>
        </m:r>
        <m:r>
          <m:t>v</m:t>
        </m:r>
        <m:r>
          <m:t>e</m:t>
        </m:r>
        <m:r>
          <m:t>r</m:t>
        </m:r>
        <m:r>
          <m:t>i</m:t>
        </m:r>
        <m:r>
          <m:t>n</m:t>
        </m:r>
        <m:r>
          <m:t>g</m:t>
        </m:r>
        <m:r>
          <m:t>s</m:t>
        </m:r>
        <m:r>
          <m:t>t</m:t>
        </m:r>
        <m:r>
          <m:t>e</m:t>
        </m:r>
        <m:r>
          <m:t>a</m:t>
        </m:r>
        <m:r>
          <m:t>d</m:t>
        </m:r>
        <m:r>
          <m:t>i</m:t>
        </m:r>
        <m:r>
          <m:t>l</m:t>
        </m:r>
        <m:r>
          <m:t>y</m:t>
        </m:r>
        <m:r>
          <m:t>t</m:t>
        </m:r>
        <m:r>
          <m:t>o</m:t>
        </m:r>
        <m:r>
          <m:t> </m:t>
        </m:r>
      </m:oMath>
      <w:r>
        <w:t xml:space="preserve">18.3 heading into this print (roughly back near year-highs), suggesting sentiment has improved as integration execution has proven out.</w:t>
      </w:r>
    </w:p>
    <w:bookmarkEnd w:id="9"/>
    <w:bookmarkStart w:id="10" w:name="what-wall-street-expects-for-q2"/>
    <w:p>
      <w:pPr>
        <w:pStyle w:val="Heading2"/>
      </w:pPr>
      <w:r>
        <w:t xml:space="preserve">What Wall Street expects for Q2</w:t>
      </w:r>
    </w:p>
    <w:p>
      <w:pPr>
        <w:pStyle w:val="Compact"/>
        <w:numPr>
          <w:ilvl w:val="0"/>
          <w:numId w:val="1001"/>
        </w:numPr>
      </w:pPr>
      <w:r>
        <w:t xml:space="preserve">Consensus adjusted EPS is roughly</w:t>
      </w:r>
      <w:r>
        <w:t xml:space="preserve"> </w:t>
      </w:r>
      <w:r>
        <w:rPr>
          <w:b/>
          <w:bCs/>
        </w:rPr>
        <w:t xml:space="preserve">$0.39</w:t>
      </w:r>
      <w:r>
        <w:t xml:space="preserve"> </w:t>
      </w:r>
      <w:r>
        <w:t xml:space="preserve">(vs.</w:t>
      </w:r>
      <w:r>
        <w:t xml:space="preserve"> </w:t>
      </w:r>
      <m:oMath>
        <m:r>
          <m:t>0.38</m:t>
        </m:r>
        <m:r>
          <m:t>a</m:t>
        </m:r>
        <m:r>
          <m:t>y</m:t>
        </m:r>
        <m:r>
          <m:t>e</m:t>
        </m:r>
        <m:r>
          <m:t>a</m:t>
        </m:r>
        <m:r>
          <m:t>r</m:t>
        </m:r>
        <m:r>
          <m:t>a</m:t>
        </m:r>
        <m:r>
          <m:t>g</m:t>
        </m:r>
        <m:r>
          <m:t>o</m:t>
        </m:r>
        <m:r>
          <m:rPr>
            <m:sty m:val="p"/>
          </m:rPr>
          <m:t>)</m:t>
        </m:r>
        <m:r>
          <m:rPr>
            <m:sty m:val="p"/>
          </m:rPr>
          <m:t>,</m:t>
        </m:r>
        <m:r>
          <m:t>w</m:t>
        </m:r>
        <m:r>
          <m:t>i</m:t>
        </m:r>
        <m:r>
          <m:t>t</m:t>
        </m:r>
        <m:r>
          <m:t>h</m:t>
        </m:r>
        <m:r>
          <m:t>r</m:t>
        </m:r>
        <m:r>
          <m:t>e</m:t>
        </m:r>
        <m:r>
          <m:t>v</m:t>
        </m:r>
        <m:r>
          <m:t>e</m:t>
        </m:r>
        <m:r>
          <m:t>n</m:t>
        </m:r>
        <m:r>
          <m:t>u</m:t>
        </m:r>
        <m:r>
          <m:t>e</m:t>
        </m:r>
        <m:r>
          <m:t>e</m:t>
        </m:r>
        <m:r>
          <m:t>x</m:t>
        </m:r>
        <m:r>
          <m:t>p</m:t>
        </m:r>
        <m:r>
          <m:t>e</m:t>
        </m:r>
        <m:r>
          <m:t>c</m:t>
        </m:r>
        <m:r>
          <m:t>t</m:t>
        </m:r>
        <m:r>
          <m:t>e</m:t>
        </m:r>
        <m:r>
          <m:t>d</m:t>
        </m:r>
        <m:r>
          <m:t>a</m:t>
        </m:r>
        <m:r>
          <m:t>r</m:t>
        </m:r>
        <m:r>
          <m:t>o</m:t>
        </m:r>
        <m:r>
          <m:t>u</m:t>
        </m:r>
        <m:r>
          <m:t>n</m:t>
        </m:r>
        <m:r>
          <m:t>d</m:t>
        </m:r>
        <m:r>
          <m:rPr>
            <m:sty m:val="p"/>
          </m:rPr>
          <m:t>*</m:t>
        </m:r>
        <m:r>
          <m:rPr>
            <m:sty m:val="p"/>
          </m:rPr>
          <m:t>*</m:t>
        </m:r>
      </m:oMath>
      <w:r>
        <w:t xml:space="preserve">2.84 billion**. Full-year 2026 adjusted EPS consensus sits near</w:t>
      </w:r>
      <w:r>
        <w:t xml:space="preserve"> </w:t>
      </w:r>
      <w:r>
        <w:rPr>
          <w:b/>
          <w:bCs/>
        </w:rPr>
        <w:t xml:space="preserve">$1.62</w:t>
      </w:r>
      <w:r>
        <w:t xml:space="preserve">, up from $1.49 in fiscal 2025.</w:t>
      </w:r>
    </w:p>
    <w:p>
      <w:pPr>
        <w:pStyle w:val="Compact"/>
        <w:numPr>
          <w:ilvl w:val="0"/>
          <w:numId w:val="1001"/>
        </w:numPr>
      </w:pPr>
      <w:r>
        <w:t xml:space="preserve">HBAN has "exceeded or met Wall Street's earnings estimates in three of the last four quarters," and sentiment is skewed bullish — of 20 analysts, the majority rate the stock</w:t>
      </w:r>
      <w:r>
        <w:t xml:space="preserve"> </w:t>
      </w:r>
      <w:r>
        <w:rPr>
          <w:b/>
          <w:bCs/>
        </w:rPr>
        <w:t xml:space="preserve">Strong Buy</w:t>
      </w:r>
      <w:r>
        <w:t xml:space="preserve">, with average price targets clustered in the</w:t>
      </w:r>
      <w:r>
        <w:t xml:space="preserve"> </w:t>
      </w:r>
      <m:oMath>
        <m:r>
          <m:t>19</m:t>
        </m:r>
        <m:r>
          <m:rPr>
            <m:sty m:val="p"/>
          </m:rPr>
          <m:t>–</m:t>
        </m:r>
      </m:oMath>
      <w:r>
        <w:rPr>
          <w:b/>
          <w:bCs/>
        </w:rPr>
        <w:t xml:space="preserve">20+</w:t>
      </w:r>
      <w:r>
        <w:t xml:space="preserve"> </w:t>
      </w:r>
      <w:r>
        <w:t xml:space="preserve">range (implying meaningful upside from current levels).</w:t>
      </w:r>
    </w:p>
    <w:bookmarkEnd w:id="10"/>
    <w:bookmarkStart w:id="11" w:name="key-themes-to-watch"/>
    <w:p>
      <w:pPr>
        <w:pStyle w:val="Heading2"/>
      </w:pPr>
      <w:r>
        <w:t xml:space="preserve">Key themes to watch</w:t>
      </w:r>
    </w:p>
    <w:p>
      <w:pPr>
        <w:pStyle w:val="FirstParagraph"/>
      </w:pPr>
      <w:r>
        <w:rPr>
          <w:b/>
          <w:bCs/>
        </w:rPr>
        <w:t xml:space="preserve">1. Cadence integration hits its biggest milestone.</w:t>
      </w:r>
      <w:r>
        <w:t xml:space="preserve"> </w:t>
      </w:r>
      <w:r>
        <w:t xml:space="preserve">On the Q1 call, management said the Cadence systems conversion — the final major integration step following Veritex's completion in January — was on track for</w:t>
      </w:r>
      <w:r>
        <w:t xml:space="preserve"> </w:t>
      </w:r>
      <w:r>
        <w:rPr>
          <w:b/>
          <w:bCs/>
        </w:rPr>
        <w:t xml:space="preserve">June 2026</w:t>
      </w:r>
      <w:r>
        <w:t xml:space="preserve">, which falls right in this reporting quarter. Investors will want confirmation that the conversion went smoothly and that cost synergies are ramping toward the "full run rate in the fourth quarter" management has guided to. Any conversion hiccups (customer friction, deposit attrition, or delayed synergy capture) would be a red flag.</w:t>
      </w:r>
    </w:p>
    <w:p>
      <w:pPr>
        <w:pStyle w:val="BodyText"/>
      </w:pPr>
      <w:r>
        <w:rPr>
          <w:b/>
          <w:bCs/>
        </w:rPr>
        <w:t xml:space="preserve">2. Net interest income / NIM trajectory.</w:t>
      </w:r>
      <w:r>
        <w:t xml:space="preserve"> </w:t>
      </w:r>
      <w:r>
        <w:t xml:space="preserve">Management trimmed its full-year 2026 guidance at the Q1 print, saying it now expects 2026 NIM to trend into the high 3.20s compared to our prior expectation in the mid-3.30s, driven by a deliberate build of ~$4 billion of extra Fed cash (Middle East-driven liquidity caution), slightly slower deposit-cost improvement, and loan growth calibrated to the</w:t>
      </w:r>
      <w:r>
        <w:t xml:space="preserve"> </w:t>
      </w:r>
      <w:r>
        <w:rPr>
          <w:b/>
          <w:bCs/>
        </w:rPr>
        <w:t xml:space="preserve">midpoint</w:t>
      </w:r>
      <w:r>
        <w:t xml:space="preserve"> </w:t>
      </w:r>
      <w:r>
        <w:t xml:space="preserve">rather than the high end of its range. NII still grew sharply in Q1: net interest income increased $299 million, or 19%, from the prior quarter, and $465 million, or 33%, from the year-ago quarter, aided by the Cadence and Veritex deal contributions. Watch whether Q2 shows the guided sequential margin improvement and whether the elevated Fed cash balance normalizes.</w:t>
      </w:r>
    </w:p>
    <w:p>
      <w:pPr>
        <w:pStyle w:val="BodyText"/>
      </w:pPr>
      <w:r>
        <w:rPr>
          <w:b/>
          <w:bCs/>
        </w:rPr>
        <w:t xml:space="preserve">3. Fee income momentum.</w:t>
      </w:r>
      <w:r>
        <w:t xml:space="preserve"> </w:t>
      </w:r>
      <w:r>
        <w:t xml:space="preserve">Q1 fee income was a standout, with management raising full-year fee growth guidance to</w:t>
      </w:r>
      <w:r>
        <w:t xml:space="preserve"> </w:t>
      </w:r>
      <w:r>
        <w:rPr>
          <w:b/>
          <w:bCs/>
        </w:rPr>
        <w:t xml:space="preserve">31–33%</w:t>
      </w:r>
      <w:r>
        <w:t xml:space="preserve"> </w:t>
      </w:r>
      <w:r>
        <w:t xml:space="preserve">(from 27–29%) after a record capital-markets quarter. Reported noninterest income increased $100 million, or 17%, from the prior quarter, to $682 million, and $188 million, or 38%, from the year-ago quarter, led by capital markets/advisory fees (Janney and TM Capital contributions), payments, and wealth management. Sustaining this pace — especially in capital markets, which management called its "strongest revenue quarter on record" — is a key swing factor for the quarter.</w:t>
      </w:r>
    </w:p>
    <w:p>
      <w:pPr>
        <w:pStyle w:val="BodyText"/>
      </w:pPr>
      <w:r>
        <w:rPr>
          <w:b/>
          <w:bCs/>
        </w:rPr>
        <w:t xml:space="preserve">4. Expense discipline vs. investment.</w:t>
      </w:r>
      <w:r>
        <w:t xml:space="preserve"> </w:t>
      </w:r>
      <w:r>
        <w:t xml:space="preserve">Management tightened 2026 expense growth guidance to the</w:t>
      </w:r>
      <w:r>
        <w:t xml:space="preserve"> </w:t>
      </w:r>
      <w:r>
        <w:rPr>
          <w:b/>
          <w:bCs/>
        </w:rPr>
        <w:t xml:space="preserve">lower half of the 32.5%–33.5%</w:t>
      </w:r>
      <w:r>
        <w:t xml:space="preserve"> </w:t>
      </w:r>
      <w:r>
        <w:t xml:space="preserve">range and flagged incremental cost actions (~$50 million) to protect operating leverage amid a "modestly softer" macro outlook, while still targeting a</w:t>
      </w:r>
      <w:r>
        <w:t xml:space="preserve"> </w:t>
      </w:r>
      <w:r>
        <w:rPr>
          <w:b/>
          <w:bCs/>
        </w:rPr>
        <w:t xml:space="preserve">Q4 2026 efficiency ratio in the mid-to-low 54% range</w:t>
      </w:r>
      <w:r>
        <w:t xml:space="preserve"> </w:t>
      </w:r>
      <w:r>
        <w:t xml:space="preserve">(improved from prior "less than 55%" guidance). Q1 reported expenses already jumped 54% year-over-year on deal-related costs; investors will look for evidence expense growth is decelerating toward plan as Veritex synergies fully land in Q2 and Cadence's ramp continues.</w:t>
      </w:r>
    </w:p>
    <w:p>
      <w:pPr>
        <w:pStyle w:val="BodyText"/>
      </w:pPr>
      <w:r>
        <w:rPr>
          <w:b/>
          <w:bCs/>
        </w:rPr>
        <w:t xml:space="preserve">5. Credit quality — watch commercial real estate/construction.</w:t>
      </w:r>
      <w:r>
        <w:t xml:space="preserve"> </w:t>
      </w:r>
      <w:r>
        <w:t xml:space="preserve">Credit metrics ticked up modestly but remain a relative strength: net charge-offs of 0.26% of average total loans and leases for the quarter, 2 basis points higher than the prior quarter and unchanged from the year ago quarter, while the nonperforming asset ratio of 0.72% at quarter end, 9 basis points higher than the prior quarter. Management has flagged a deliberate, multi-year reduction in CRE construction exposure and reiterated a 25–35bps NCO guide range; any acceleration in criticized assets (4.3% in Q1) or NPA formation beyond acquired-book effects would warrant scrutiny.</w:t>
      </w:r>
    </w:p>
    <w:p>
      <w:pPr>
        <w:pStyle w:val="BodyText"/>
      </w:pPr>
      <w:r>
        <w:rPr>
          <w:b/>
          <w:bCs/>
        </w:rPr>
        <w:t xml:space="preserve">6. Capital return and Basel III tailwind.</w:t>
      </w:r>
      <w:r>
        <w:t xml:space="preserve"> </w:t>
      </w:r>
      <w:r>
        <w:t xml:space="preserve">HBAN's board approved a new</w:t>
      </w:r>
      <w:r>
        <w:t xml:space="preserve"> </w:t>
      </w:r>
      <w:r>
        <w:rPr>
          <w:b/>
          <w:bCs/>
        </w:rPr>
        <w:t xml:space="preserve">$3 billion buyback authorization</w:t>
      </w:r>
      <w:r>
        <w:t xml:space="preserve"> </w:t>
      </w:r>
      <w:r>
        <w:t xml:space="preserve">in April (replacing the prior $1 billion program), and management guided to at least</w:t>
      </w:r>
      <w:r>
        <w:t xml:space="preserve"> </w:t>
      </w:r>
      <m:oMath>
        <m:r>
          <m:t>550</m:t>
        </m:r>
        <m:r>
          <m:t>m</m:t>
        </m:r>
        <m:r>
          <m:t>i</m:t>
        </m:r>
        <m:r>
          <m:t>l</m:t>
        </m:r>
        <m:r>
          <m:t>l</m:t>
        </m:r>
        <m:r>
          <m:t>i</m:t>
        </m:r>
        <m:r>
          <m:t>o</m:t>
        </m:r>
        <m:r>
          <m:t>n</m:t>
        </m:r>
        <m:r>
          <m:t>o</m:t>
        </m:r>
        <m:r>
          <m:t>f</m:t>
        </m:r>
        <m:r>
          <m:t>2026</m:t>
        </m:r>
        <m:r>
          <m:t>r</m:t>
        </m:r>
        <m:r>
          <m:t>e</m:t>
        </m:r>
        <m:r>
          <m:t>p</m:t>
        </m:r>
        <m:r>
          <m:t>u</m:t>
        </m:r>
        <m:r>
          <m:t>r</m:t>
        </m:r>
        <m:r>
          <m:t>c</m:t>
        </m:r>
        <m:r>
          <m:t>h</m:t>
        </m:r>
        <m:r>
          <m:t>a</m:t>
        </m:r>
        <m:r>
          <m:t>s</m:t>
        </m:r>
        <m:r>
          <m:t>e</m:t>
        </m:r>
        <m:r>
          <m:t>s</m:t>
        </m:r>
        <m:r>
          <m:rPr>
            <m:sty m:val="p"/>
          </m:rPr>
          <m:t>(</m:t>
        </m:r>
        <m:r>
          <m:t> </m:t>
        </m:r>
      </m:oMath>
      <w:r>
        <w:t xml:space="preserve">250 million completed year-to-date as of the Q1 call) and</w:t>
      </w:r>
      <w:r>
        <w:t xml:space="preserve"> </w:t>
      </w:r>
      <m:oMath>
        <m:r>
          <m:t>1.1</m:t>
        </m:r>
        <m:r>
          <m:rPr>
            <m:sty m:val="p"/>
          </m:rPr>
          <m:t>–</m:t>
        </m:r>
      </m:oMath>
      <w:r>
        <w:t xml:space="preserve">1.2 billion in 2027. Management also flagged Basel III Endgame as a net positive, estimating roughly a</w:t>
      </w:r>
      <w:r>
        <w:t xml:space="preserve"> </w:t>
      </w:r>
      <w:r>
        <w:rPr>
          <w:b/>
          <w:bCs/>
        </w:rPr>
        <w:t xml:space="preserve">7.5–8% RWA reduction (~80bps of CET1 benefit)</w:t>
      </w:r>
      <w:r>
        <w:t xml:space="preserve"> </w:t>
      </w:r>
      <w:r>
        <w:t xml:space="preserve">under the standardized approach — a potential source of accelerated buybacks in 2027. Watch for updated repurchase pace/commentary given the CET1 ratio dipped to 10.2% post-Cadence close.</w:t>
      </w:r>
    </w:p>
    <w:p>
      <w:pPr>
        <w:pStyle w:val="BodyText"/>
      </w:pPr>
      <w:r>
        <w:rPr>
          <w:b/>
          <w:bCs/>
        </w:rPr>
        <w:t xml:space="preserve">7. The 2027 target reiteration.</w:t>
      </w:r>
      <w:r>
        <w:t xml:space="preserve"> </w:t>
      </w:r>
      <w:r>
        <w:t xml:space="preserve">Management's headline long-term message is a</w:t>
      </w:r>
      <w:r>
        <w:t xml:space="preserve"> </w:t>
      </w:r>
      <w:r>
        <w:rPr>
          <w:b/>
          <w:bCs/>
        </w:rPr>
        <w:t xml:space="preserve">2027 EPS target of</w:t>
      </w:r>
      <w:r>
        <w:rPr>
          <w:b/>
          <w:bCs/>
        </w:rPr>
        <w:t xml:space="preserve"> </w:t>
      </w:r>
      <m:oMath>
        <m:r>
          <m:t>1.90</m:t>
        </m:r>
        <m:r>
          <m:rPr>
            <m:sty m:val="p"/>
          </m:rPr>
          <m:t>–</m:t>
        </m:r>
      </m:oMath>
      <w:r>
        <w:rPr>
          <w:b/>
          <w:bCs/>
        </w:rPr>
        <w:t xml:space="preserve">1.93</w:t>
      </w:r>
      <w:r>
        <w:t xml:space="preserve"> </w:t>
      </w:r>
      <w:r>
        <w:t xml:space="preserve">and a raised</w:t>
      </w:r>
      <w:r>
        <w:t xml:space="preserve"> </w:t>
      </w:r>
      <w:r>
        <w:rPr>
          <w:b/>
          <w:bCs/>
        </w:rPr>
        <w:t xml:space="preserve">ROTCE target of 18–19%</w:t>
      </w:r>
      <w:r>
        <w:t xml:space="preserve"> </w:t>
      </w:r>
      <w:r>
        <w:t xml:space="preserve">(up from a prior 16–17% target), to be delivered via synergy realization, fee growth, and expense discipline. Any update — positive or negative — to this framework, especially in light of "more uncertain" macro commentary (tariffs, Middle East tensions, inflation pressure on lower-income consumers), will be a focal point for the call.</w:t>
      </w:r>
    </w:p>
    <w:bookmarkEnd w:id="11"/>
    <w:bookmarkStart w:id="12" w:name="bottom-line"/>
    <w:p>
      <w:pPr>
        <w:pStyle w:val="Heading2"/>
      </w:pPr>
      <w:r>
        <w:t xml:space="preserve">Bottom line</w:t>
      </w:r>
    </w:p>
    <w:p>
      <w:pPr>
        <w:pStyle w:val="FirstParagraph"/>
      </w:pPr>
      <w:r>
        <w:t xml:space="preserve">Going into Thursday's print, the bar is modest (~$0.39 adjusted EPS, consensus reflecting only single-digit YoY growth) but the narrative bar is higher: investors want proof that the Cadence conversion (completed in June) went cleanly, that NIM is beginning its guided climb off elevated liquidity levels, that fee-income strength (payments, wealth, capital markets) is durable rather than a one-quarter pop, and that expense/credit discipline holds as HBAN pushes toward its 2027 EPS and ROTCE targets. With the stock trading well below where it started the year despite reiterated targets and a large new buyback authorization, management's tone on the durability of synergies and the macro backdrop will likely matter as much as the reported numbers themselves.</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2026-07-23T00:39:57Z</dcterms:created>
  <dcterms:modified xsi:type="dcterms:W3CDTF">2026-07-23T00:39:57Z</dcterms:modified>
</cp:coreProperties>
</file>

<file path=docProps/custom.xml><?xml version="1.0" encoding="utf-8"?>
<Properties xmlns="http://schemas.openxmlformats.org/officeDocument/2006/custom-properties" xmlns:vt="http://schemas.openxmlformats.org/officeDocument/2006/docPropsVTypes"/>
</file>