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ban-earnings-predictions--2026-07-23"/>
    <w:p>
      <w:pPr>
        <w:pStyle w:val="Heading1"/>
      </w:pPr>
      <w:r>
        <w:t xml:space="preserve">HBAN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~$0.39 vs. cons $0.38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~$1.94B vs. cons $1.93B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~$0.70B vs. cons $0.70B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exit net interest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~3.28% vs. cons 3.28% (4Q26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fee-income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~32% vs. cons 32%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 Veritex and Cadence cost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~$435M vs. cons $435M (4Q26 run-rate)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adjusted EPS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~$1.92 vs. cons $1.92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0.38 consensus, paired with intact ~</w:t>
            </w:r>
            <m:oMath>
              <m:r>
                <m:t>435</m:t>
              </m:r>
              <m:r>
                <m:t>M</m:t>
              </m:r>
              <m:r>
                <m:t>4</m:t>
              </m:r>
              <m:r>
                <m:t>Q</m:t>
              </m:r>
              <m:r>
                <m:t>26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y</m:t>
              </m:r>
              <m:r>
                <m:t>d</m:t>
              </m:r>
              <m:r>
                <m:t>e</m:t>
              </m:r>
              <m:r>
                <m:t>l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1.92 FY27 EPS target, should lift out-period estimates rather than leave the beat as a one-quarter fee or accounting event.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2026-07-23T00:38:20Z</dcterms:created>
  <dcterms:modified xsi:type="dcterms:W3CDTF">2026-07-23T00:38:20Z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