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9" w:name="hban-earnings-predictions--2026-07-23"/>
    <w:p>
      <w:pPr>
        <w:pStyle w:val="Heading1"/>
      </w:pPr>
      <w:r>
        <w:t xml:space="preserve">HBAN Earnings Predictions — 2026-07-23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1320"/>
        <w:gridCol w:w="1320"/>
        <w:gridCol w:w="1320"/>
        <w:gridCol w:w="1320"/>
        <w:gridCol w:w="1320"/>
        <w:gridCol w:w="132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Ticker</w:t>
            </w:r>
          </w:p>
        </w:tc>
        <w:tc>
          <w:tcPr/>
          <w:p>
            <w:pPr>
              <w:pStyle w:val="Compact"/>
            </w:pPr>
            <w:r>
              <w:t xml:space="preserve">Report or Guide</w:t>
            </w:r>
          </w:p>
        </w:tc>
        <w:tc>
          <w:tcPr/>
          <w:p>
            <w:pPr>
              <w:pStyle w:val="Compact"/>
            </w:pPr>
            <w:r>
              <w:t xml:space="preserve">KPI</w:t>
            </w:r>
          </w:p>
        </w:tc>
        <w:tc>
          <w:tcPr/>
          <w:p>
            <w:pPr>
              <w:pStyle w:val="Compact"/>
            </w:pPr>
            <w:r>
              <w:t xml:space="preserve">Prediction</w:t>
            </w:r>
          </w:p>
        </w:tc>
        <w:tc>
          <w:tcPr/>
          <w:p>
            <w:pPr>
              <w:pStyle w:val="Compact"/>
            </w:pPr>
            <w:r>
              <w:t xml:space="preserve">Answer</w:t>
            </w:r>
          </w:p>
        </w:tc>
        <w:tc>
          <w:tcPr/>
          <w:p>
            <w:pPr>
              <w:pStyle w:val="Compact"/>
            </w:pPr>
            <w:r>
              <w:t xml:space="preserve">Confidence</w:t>
            </w:r>
          </w:p>
        </w:tc>
      </w:tr>
      <w:tr>
        <w:tc>
          <w:tcPr/>
          <w:p>
            <w:pPr>
              <w:pStyle w:val="Compact"/>
            </w:pPr>
            <w:r>
              <w:t xml:space="preserve">HBAN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Adjusted EPS</w:t>
            </w:r>
          </w:p>
        </w:tc>
        <w:tc>
          <w:tcPr/>
          <w:p>
            <w:pPr>
              <w:pStyle w:val="Compact"/>
            </w:pPr>
            <w:r>
              <w:t xml:space="preserve">BEAT</w:t>
            </w:r>
          </w:p>
        </w:tc>
        <w:tc>
          <w:tcPr/>
          <w:p>
            <w:pPr>
              <w:pStyle w:val="Compact"/>
            </w:pPr>
            <w:r>
              <w:t xml:space="preserve">pred ~$0.390 vs. cons $0.386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HBAN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Net interest income</w:t>
            </w:r>
          </w:p>
        </w:tc>
        <w:tc>
          <w:tcPr/>
          <w:p>
            <w:pPr>
              <w:pStyle w:val="Compact"/>
            </w:pPr>
            <w:r>
              <w:t xml:space="preserve">BEAT</w:t>
            </w:r>
          </w:p>
        </w:tc>
        <w:tc>
          <w:tcPr/>
          <w:p>
            <w:pPr>
              <w:pStyle w:val="Compact"/>
            </w:pPr>
            <w:r>
              <w:t xml:space="preserve">pred ~$2.120B vs. cons $2.093B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HBAN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Total noninterest income</w:t>
            </w:r>
          </w:p>
        </w:tc>
        <w:tc>
          <w:tcPr/>
          <w:p>
            <w:pPr>
              <w:pStyle w:val="Compact"/>
            </w:pPr>
            <w:r>
              <w:t xml:space="preserve">BEAT</w:t>
            </w:r>
          </w:p>
        </w:tc>
        <w:tc>
          <w:tcPr/>
          <w:p>
            <w:pPr>
              <w:pStyle w:val="Compact"/>
            </w:pPr>
            <w:r>
              <w:t xml:space="preserve">pred ~$745M vs. cons $734M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HBAN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FY26 NII/NIM trajectory</w:t>
            </w:r>
          </w:p>
        </w:tc>
        <w:tc>
          <w:tcPr/>
          <w:p>
            <w:pPr>
              <w:pStyle w:val="Compact"/>
            </w:pPr>
            <w:r>
              <w:t xml:space="preserve">UNKNOWN</w:t>
            </w:r>
          </w:p>
        </w:tc>
        <w:tc>
          <w:tcPr/>
          <w:p>
            <w:pPr>
              <w:pStyle w:val="Compact"/>
            </w:pPr>
            <w:r>
              <w:t xml:space="preserve">guide ~low-end / high-3.20s exit-NIM; consensus comparison UNVERIFIED</w:t>
            </w:r>
          </w:p>
        </w:tc>
        <w:tc>
          <w:tcPr/>
          <w:p>
            <w:pPr>
              <w:pStyle w:val="Compact"/>
            </w:pPr>
            <w:r>
              <w:t xml:space="preserve">LOW</w:t>
            </w:r>
          </w:p>
        </w:tc>
      </w:tr>
      <w:tr>
        <w:tc>
          <w:tcPr/>
          <w:p>
            <w:pPr>
              <w:pStyle w:val="Compact"/>
            </w:pPr>
            <w:r>
              <w:t xml:space="preserve">HBAN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FY26 fee-revenue growth</w:t>
            </w:r>
          </w:p>
        </w:tc>
        <w:tc>
          <w:tcPr/>
          <w:p>
            <w:pPr>
              <w:pStyle w:val="Compact"/>
            </w:pPr>
            <w:r>
              <w:t xml:space="preserve">UNKNOWN</w:t>
            </w:r>
          </w:p>
        </w:tc>
        <w:tc>
          <w:tcPr/>
          <w:p>
            <w:pPr>
              <w:pStyle w:val="Compact"/>
            </w:pPr>
            <w:r>
              <w:t xml:space="preserve">guide ~31%-33%; dollar-consensus comparison unavailable</w:t>
            </w:r>
          </w:p>
        </w:tc>
        <w:tc>
          <w:tcPr/>
          <w:p>
            <w:pPr>
              <w:pStyle w:val="Compact"/>
            </w:pPr>
            <w:r>
              <w:t xml:space="preserve">LOW</w:t>
            </w:r>
          </w:p>
        </w:tc>
      </w:tr>
      <w:tr>
        <w:tc>
          <w:tcPr/>
          <w:p>
            <w:pPr>
              <w:pStyle w:val="Compact"/>
            </w:pPr>
            <w:r>
              <w:t xml:space="preserve">HBAN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FY26 NCOs</w:t>
            </w:r>
          </w:p>
        </w:tc>
        <w:tc>
          <w:tcPr/>
          <w:p>
            <w:pPr>
              <w:pStyle w:val="Compact"/>
            </w:pPr>
            <w:r>
              <w:t xml:space="preserve">UNCHANGED</w:t>
            </w:r>
          </w:p>
        </w:tc>
        <w:tc>
          <w:tcPr/>
          <w:p>
            <w:pPr>
              <w:pStyle w:val="Compact"/>
            </w:pPr>
            <w:r>
              <w:t xml:space="preserve">guide ~25-35 bps vs. cons 27.3 bps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HBAN</w:t>
            </w:r>
          </w:p>
        </w:tc>
        <w:tc>
          <w:tcPr/>
          <w:p>
            <w:pPr>
              <w:pStyle w:val="Compact"/>
            </w:pPr>
            <w:r>
              <w:t xml:space="preserve">Return</w:t>
            </w:r>
          </w:p>
        </w:tc>
        <w:tc>
          <w:tcPr/>
          <w:p>
            <w:pPr>
              <w:pStyle w:val="Compact"/>
            </w:pPr>
            <w:r>
              <w:t xml:space="preserve">Day-1 residual (stock − beta × S&amp;P 500)</w:t>
            </w:r>
          </w:p>
        </w:tc>
        <w:tc>
          <w:tcPr/>
          <w:p>
            <w:pPr>
              <w:pStyle w:val="Compact"/>
            </w:pPr>
            <w:r>
              <w:t xml:space="preserve">-2.0%</w:t>
            </w:r>
          </w:p>
        </w:tc>
        <w:tc>
          <w:tcPr/>
          <w:p>
            <w:pPr>
              <w:pStyle w:val="Compact"/>
            </w:pPr>
            <w:r>
              <w:t xml:space="preserve">—</w:t>
            </w:r>
          </w:p>
        </w:tc>
        <w:tc>
          <w:tcPr/>
          <w:p>
            <w:pPr>
              <w:pStyle w:val="Compact"/>
            </w:pPr>
            <w:r>
              <w:t xml:space="preserve">LOW</w:t>
            </w:r>
          </w:p>
        </w:tc>
      </w:tr>
      <w:tr>
        <w:tc>
          <w:tcPr/>
          <w:p>
            <w:pPr>
              <w:pStyle w:val="Compact"/>
            </w:pPr>
            <w:r>
              <w:t xml:space="preserve">HBAN</w:t>
            </w:r>
          </w:p>
        </w:tc>
        <w:tc>
          <w:tcPr/>
          <w:p>
            <w:pPr>
              <w:pStyle w:val="Compact"/>
            </w:pPr>
            <w:r>
              <w:t xml:space="preserve">Return</w:t>
            </w:r>
          </w:p>
        </w:tc>
        <w:tc>
          <w:tcPr/>
          <w:p>
            <w:pPr>
              <w:pStyle w:val="Compact"/>
            </w:pPr>
            <w:r>
              <w:t xml:space="preserve">5-day cumulative residual</w:t>
            </w:r>
          </w:p>
        </w:tc>
        <w:tc>
          <w:tcPr/>
          <w:p>
            <w:pPr>
              <w:pStyle w:val="Compact"/>
            </w:pPr>
            <w:r>
              <w:t xml:space="preserve">-3.0% (FOLLOW-THROUGH)</w:t>
            </w:r>
          </w:p>
        </w:tc>
        <w:tc>
          <w:tcPr/>
          <w:p>
            <w:pPr>
              <w:pStyle w:val="Compact"/>
            </w:pPr>
            <w:r>
              <w:t xml:space="preserve">FOLLOW-THROUGH — maintained forward framework drives estimate pressure</w:t>
            </w:r>
          </w:p>
        </w:tc>
        <w:tc>
          <w:tcPr/>
          <w:p>
            <w:pPr>
              <w:pStyle w:val="Compact"/>
            </w:pPr>
            <w:r>
              <w:t xml:space="preserve">LOW</w:t>
            </w:r>
          </w:p>
        </w:tc>
      </w:tr>
    </w:tbl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2026-07-25T02:02:09Z</dcterms:created>
  <dcterms:modified xsi:type="dcterms:W3CDTF">2026-07-25T02:02:09Z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