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Huntington Bancshares (HBAN)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Huntington Bancshares Incorporated</w:t>
            </w:r>
          </w:p>
        </w:tc>
      </w:tr>
      <w:tr>
        <w:tc>
          <w:tcPr>
            <w:tcW w:type="dxa" w:w="4320"/>
          </w:tcPr>
          <w:p>
            <w:r>
              <w:rPr>
                <w:rFonts w:ascii="Calibri" w:hAnsi="Calibri"/>
                <w:b/>
                <w:sz w:val="22"/>
              </w:rPr>
              <w:t>Ticker</w:t>
            </w:r>
          </w:p>
        </w:tc>
        <w:tc>
          <w:tcPr>
            <w:tcW w:type="dxa" w:w="4320"/>
          </w:tcPr>
          <w:p>
            <w:r>
              <w:rPr>
                <w:rFonts w:ascii="Calibri" w:hAnsi="Calibri"/>
                <w:sz w:val="22"/>
              </w:rPr>
              <w:t>HBAN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(pre-market); call at 9:00 AM ET</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Last Earnings</w:t>
            </w:r>
          </w:p>
        </w:tc>
        <w:tc>
          <w:tcPr>
            <w:tcW w:type="dxa" w:w="4320"/>
          </w:tcPr>
          <w:p>
            <w:r>
              <w:rPr>
                <w:rFonts w:ascii="Calibri" w:hAnsi="Calibri"/>
                <w:sz w:val="22"/>
              </w:rPr>
              <w:t>April 23, 2026 (Q1 2026)</w:t>
            </w:r>
          </w:p>
        </w:tc>
      </w:tr>
      <w:tr>
        <w:tc>
          <w:tcPr>
            <w:tcW w:type="dxa" w:w="4320"/>
          </w:tcPr>
          <w:p>
            <w:r>
              <w:rPr>
                <w:rFonts w:ascii="Calibri" w:hAnsi="Calibri"/>
                <w:b/>
                <w:sz w:val="22"/>
              </w:rPr>
              <w:t>Current Price</w:t>
            </w:r>
          </w:p>
        </w:tc>
        <w:tc>
          <w:tcPr>
            <w:tcW w:type="dxa" w:w="4320"/>
          </w:tcPr>
          <w:p>
            <w:r>
              <w:rPr>
                <w:rFonts w:ascii="Calibri" w:hAnsi="Calibri"/>
                <w:sz w:val="22"/>
              </w:rPr>
              <w:t>$18.27 (July 23, 2026)</w:t>
            </w:r>
          </w:p>
        </w:tc>
      </w:tr>
      <w:tr>
        <w:tc>
          <w:tcPr>
            <w:tcW w:type="dxa" w:w="4320"/>
          </w:tcPr>
          <w:p>
            <w:r>
              <w:rPr>
                <w:rFonts w:ascii="Calibri" w:hAnsi="Calibri"/>
                <w:b/>
                <w:sz w:val="22"/>
              </w:rPr>
              <w:t>NTM P/E</w:t>
            </w:r>
          </w:p>
        </w:tc>
        <w:tc>
          <w:tcPr>
            <w:tcW w:type="dxa" w:w="4320"/>
          </w:tcPr>
          <w:p>
            <w:r>
              <w:rPr>
                <w:rFonts w:ascii="Calibri" w:hAnsi="Calibri"/>
                <w:sz w:val="22"/>
              </w:rPr>
              <w:t>10.7x (vs. regional bank peer median ~11.2x; ~12% discount)</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manageable bar, the Cadence conversion is complete, and management's tone has shifted meaningfully more positive since April; the biggest swing factor is whether NII/NIM lands at or above the guided high-3.20s trajectory as elevated liquidity is unwound.</w:t>
      </w:r>
      <w:r>
        <w:rPr>
          <w:rFonts w:ascii="Calibri" w:hAnsi="Calibri"/>
          <w:color w:val="525866"/>
          <w:sz w:val="22"/>
        </w:rPr>
        <w:t xml:space="preserve"> The bar is beatable.</w:t>
      </w:r>
    </w:p>
    <w:p>
      <w:r>
        <w:rPr>
          <w:rFonts w:ascii="Calibri" w:hAnsi="Calibri"/>
          <w:color w:val="525866"/>
          <w:sz w:val="22"/>
        </w:rPr>
        <w:t xml:space="preserve">Heading into Q2 2026, HBAN's consensus bar looks achievable: the Street is modeling adjusted EPS of ~$0.39 and NII of ~$2.09B, both of which management's own guidance trajectory supports. The Cadence systems conversion — management's self-described 'Super Bowl' — was completed in late June, unlocking the full $365M cost synergy run-rate in Q4 and removing the single largest integration execution risk. Management's tone has shifted materially since the April earnings call: at the June 9 Morgan Stanley conference, CFO Wasserman explicitly stated the macro environment looks </w:t>
      </w:r>
      <w:r>
        <w:rPr>
          <w:rFonts w:ascii="Calibri" w:hAnsi="Calibri"/>
          <w:b/>
          <w:color w:val="525866"/>
          <w:sz w:val="22"/>
        </w:rPr>
        <w:t>"more favorable than when we were sitting in April,"</w:t>
      </w:r>
      <w:r>
        <w:rPr>
          <w:rFonts w:ascii="Calibri" w:hAnsi="Calibri"/>
          <w:color w:val="525866"/>
          <w:sz w:val="22"/>
        </w:rPr>
        <w:t xml:space="preserve"> with strong pipelines, rational deposit pricing, and no credit deterioration observed — a sharp contrast to the cautious posture that drove the NII guidance cut last quarter. Estimate revisions have drifted modestly lower since Q1 (adjusted EPS consensus slipped from ~$0.385 to ~$0.357 over the past several months), creating a low bar that a clean print with positive NIM commentary could easily clear. The stock has rallied ~8.6% since the April 23 earnings date, outperforming KRE (+9.2%) modestly, with the re-rating driven almost entirely by multiple expansion rather than estimate upgrades — suggesting the stock is pricing in execution rather than a beat, leaving room for upside surprise. The key wildcard is the NIM trajectory: management guided to high-3.20s for the full year, but noted Q2/Q3 would be variable during Cadence portfolio optimization; any signal that the elevated Fed cash balances (~$4B added in Q1 for geopolitical reasons) are being unwound — as the CFO suggested in June — would be a meaningful positive catalyst for NIM and NII in the back half.</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NII and a low bar on EPS; fee income is the bigger swing factor given the record Q1 capital markets quarter and management's raised fee guidance. NIM variability during Cadence portfolio optimization is the primary source of uncertainty.</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(PY)</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Adj. EPS (Operating)</w:t>
            </w:r>
          </w:p>
        </w:tc>
        <w:tc>
          <w:tcPr>
            <w:tcW w:type="dxa" w:w="1234"/>
          </w:tcPr>
          <w:p>
            <w:r>
              <w:rPr>
                <w:rFonts w:ascii="Calibri" w:hAnsi="Calibri"/>
                <w:sz w:val="22"/>
              </w:rPr>
              <w:t>$0.37</w:t>
            </w:r>
          </w:p>
        </w:tc>
        <w:tc>
          <w:tcPr>
            <w:tcW w:type="dxa" w:w="1234"/>
          </w:tcPr>
          <w:p>
            <w:r>
              <w:rPr>
                <w:rFonts w:ascii="Calibri" w:hAnsi="Calibri"/>
                <w:sz w:val="22"/>
              </w:rPr>
              <w:t>$0.38</w:t>
            </w:r>
          </w:p>
        </w:tc>
        <w:tc>
          <w:tcPr>
            <w:tcW w:type="dxa" w:w="1234"/>
          </w:tcPr>
          <w:p>
            <w:r>
              <w:rPr>
                <w:rFonts w:ascii="Calibri" w:hAnsi="Calibri"/>
                <w:sz w:val="22"/>
              </w:rPr>
              <w:t>$0.39</w:t>
            </w:r>
          </w:p>
        </w:tc>
        <w:tc>
          <w:tcPr>
            <w:tcW w:type="dxa" w:w="1234"/>
          </w:tcPr>
          <w:p>
            <w:r>
              <w:rPr>
                <w:rFonts w:ascii="Calibri" w:hAnsi="Calibri"/>
                <w:sz w:val="22"/>
              </w:rPr>
              <w:t>+2.4%</w:t>
            </w:r>
          </w:p>
        </w:tc>
        <w:tc>
          <w:tcPr>
            <w:tcW w:type="dxa" w:w="1234"/>
          </w:tcPr>
          <w:p>
            <w:r>
              <w:rPr>
                <w:rFonts w:ascii="Calibri" w:hAnsi="Calibri"/>
                <w:sz w:val="22"/>
              </w:rPr>
              <w:t>No explicit Q2 guide; FY ~$1.61</w:t>
            </w:r>
          </w:p>
        </w:tc>
        <w:tc>
          <w:tcPr>
            <w:tcW w:type="dxa" w:w="1234"/>
          </w:tcPr>
          <w:p>
            <w:r>
              <w:rPr>
                <w:rFonts w:ascii="Calibri" w:hAnsi="Calibri"/>
                <w:sz w:val="22"/>
              </w:rPr>
              <w:t>~In line with FY run-rate</w:t>
            </w:r>
          </w:p>
        </w:tc>
      </w:tr>
      <w:tr>
        <w:tc>
          <w:tcPr>
            <w:tcW w:type="dxa" w:w="1234"/>
          </w:tcPr>
          <w:p>
            <w:r>
              <w:rPr>
                <w:rFonts w:ascii="Calibri" w:hAnsi="Calibri"/>
                <w:sz w:val="22"/>
              </w:rPr>
              <w:t>Net Interest Income (NII)</w:t>
            </w:r>
          </w:p>
        </w:tc>
        <w:tc>
          <w:tcPr>
            <w:tcW w:type="dxa" w:w="1234"/>
          </w:tcPr>
          <w:p>
            <w:r>
              <w:rPr>
                <w:rFonts w:ascii="Calibri" w:hAnsi="Calibri"/>
                <w:sz w:val="22"/>
              </w:rPr>
              <w:t>$1,891M</w:t>
            </w:r>
          </w:p>
        </w:tc>
        <w:tc>
          <w:tcPr>
            <w:tcW w:type="dxa" w:w="1234"/>
          </w:tcPr>
          <w:p>
            <w:r>
              <w:rPr>
                <w:rFonts w:ascii="Calibri" w:hAnsi="Calibri"/>
                <w:sz w:val="22"/>
              </w:rPr>
              <w:t>$1,467M</w:t>
            </w:r>
          </w:p>
        </w:tc>
        <w:tc>
          <w:tcPr>
            <w:tcW w:type="dxa" w:w="1234"/>
          </w:tcPr>
          <w:p>
            <w:r>
              <w:rPr>
                <w:rFonts w:ascii="Calibri" w:hAnsi="Calibri"/>
                <w:sz w:val="22"/>
              </w:rPr>
              <w:t>$2,093M</w:t>
            </w:r>
          </w:p>
        </w:tc>
        <w:tc>
          <w:tcPr>
            <w:tcW w:type="dxa" w:w="1234"/>
          </w:tcPr>
          <w:p>
            <w:r>
              <w:rPr>
                <w:rFonts w:ascii="Calibri" w:hAnsi="Calibri"/>
                <w:sz w:val="22"/>
              </w:rPr>
              <w:t>+42.7%</w:t>
            </w:r>
          </w:p>
        </w:tc>
        <w:tc>
          <w:tcPr>
            <w:tcW w:type="dxa" w:w="1234"/>
          </w:tcPr>
          <w:p>
            <w:r>
              <w:rPr>
                <w:rFonts w:ascii="Calibri" w:hAnsi="Calibri"/>
                <w:sz w:val="22"/>
              </w:rPr>
              <w:t>Low end of guided range; high-3.20s NIM exit</w:t>
            </w:r>
          </w:p>
        </w:tc>
        <w:tc>
          <w:tcPr>
            <w:tcW w:type="dxa" w:w="1234"/>
          </w:tcPr>
          <w:p>
            <w:r>
              <w:rPr>
                <w:rFonts w:ascii="Calibri" w:hAnsi="Calibri"/>
                <w:sz w:val="22"/>
              </w:rPr>
              <w:t>~In line / slight cushion</w:t>
            </w:r>
          </w:p>
        </w:tc>
      </w:tr>
      <w:tr>
        <w:tc>
          <w:tcPr>
            <w:tcW w:type="dxa" w:w="1234"/>
          </w:tcPr>
          <w:p>
            <w:r>
              <w:rPr>
                <w:rFonts w:ascii="Calibri" w:hAnsi="Calibri"/>
                <w:sz w:val="22"/>
              </w:rPr>
              <w:t>Net Interest Margin (NIM)</w:t>
            </w:r>
          </w:p>
        </w:tc>
        <w:tc>
          <w:tcPr>
            <w:tcW w:type="dxa" w:w="1234"/>
          </w:tcPr>
          <w:p>
            <w:r>
              <w:rPr>
                <w:rFonts w:ascii="Calibri" w:hAnsi="Calibri"/>
                <w:sz w:val="22"/>
              </w:rPr>
              <w:t>3.24%</w:t>
            </w:r>
          </w:p>
        </w:tc>
        <w:tc>
          <w:tcPr>
            <w:tcW w:type="dxa" w:w="1234"/>
          </w:tcPr>
          <w:p>
            <w:r>
              <w:rPr>
                <w:rFonts w:ascii="Calibri" w:hAnsi="Calibri"/>
                <w:sz w:val="22"/>
              </w:rPr>
              <w:t>3.11%</w:t>
            </w:r>
          </w:p>
        </w:tc>
        <w:tc>
          <w:tcPr>
            <w:tcW w:type="dxa" w:w="1234"/>
          </w:tcPr>
          <w:p>
            <w:r>
              <w:rPr>
                <w:rFonts w:ascii="Calibri" w:hAnsi="Calibri"/>
                <w:sz w:val="22"/>
              </w:rPr>
              <w:t>3.25%</w:t>
            </w:r>
          </w:p>
        </w:tc>
        <w:tc>
          <w:tcPr>
            <w:tcW w:type="dxa" w:w="1234"/>
          </w:tcPr>
          <w:p>
            <w:r>
              <w:rPr>
                <w:rFonts w:ascii="Calibri" w:hAnsi="Calibri"/>
                <w:sz w:val="22"/>
              </w:rPr>
              <w:t>+14 bps</w:t>
            </w:r>
          </w:p>
        </w:tc>
        <w:tc>
          <w:tcPr>
            <w:tcW w:type="dxa" w:w="1234"/>
          </w:tcPr>
          <w:p>
            <w:r>
              <w:rPr>
                <w:rFonts w:ascii="Calibri" w:hAnsi="Calibri"/>
                <w:sz w:val="22"/>
              </w:rPr>
              <w:t>High-3.20s for FY; Q2/Q3 variable</w:t>
            </w:r>
          </w:p>
        </w:tc>
        <w:tc>
          <w:tcPr>
            <w:tcW w:type="dxa" w:w="1234"/>
          </w:tcPr>
          <w:p>
            <w:r>
              <w:rPr>
                <w:rFonts w:ascii="Calibri" w:hAnsi="Calibri"/>
                <w:sz w:val="22"/>
              </w:rPr>
              <w:t>~In line</w:t>
            </w:r>
          </w:p>
        </w:tc>
      </w:tr>
      <w:tr>
        <w:tc>
          <w:tcPr>
            <w:tcW w:type="dxa" w:w="1234"/>
          </w:tcPr>
          <w:p>
            <w:r>
              <w:rPr>
                <w:rFonts w:ascii="Calibri" w:hAnsi="Calibri"/>
                <w:sz w:val="22"/>
              </w:rPr>
              <w:t>Total Revenue (net of int. exp.)</w:t>
            </w:r>
          </w:p>
        </w:tc>
        <w:tc>
          <w:tcPr>
            <w:tcW w:type="dxa" w:w="1234"/>
          </w:tcPr>
          <w:p>
            <w:r>
              <w:rPr>
                <w:rFonts w:ascii="Calibri" w:hAnsi="Calibri"/>
                <w:sz w:val="22"/>
              </w:rPr>
              <w:t>$2,573M</w:t>
            </w:r>
          </w:p>
        </w:tc>
        <w:tc>
          <w:tcPr>
            <w:tcW w:type="dxa" w:w="1234"/>
          </w:tcPr>
          <w:p>
            <w:r>
              <w:rPr>
                <w:rFonts w:ascii="Calibri" w:hAnsi="Calibri"/>
                <w:sz w:val="22"/>
              </w:rPr>
              <w:t>$1,938M</w:t>
            </w:r>
          </w:p>
        </w:tc>
        <w:tc>
          <w:tcPr>
            <w:tcW w:type="dxa" w:w="1234"/>
          </w:tcPr>
          <w:p>
            <w:r>
              <w:rPr>
                <w:rFonts w:ascii="Calibri" w:hAnsi="Calibri"/>
                <w:sz w:val="22"/>
              </w:rPr>
              <w:t>$2,825M</w:t>
            </w:r>
          </w:p>
        </w:tc>
        <w:tc>
          <w:tcPr>
            <w:tcW w:type="dxa" w:w="1234"/>
          </w:tcPr>
          <w:p>
            <w:r>
              <w:rPr>
                <w:rFonts w:ascii="Calibri" w:hAnsi="Calibri"/>
                <w:sz w:val="22"/>
              </w:rPr>
              <w:t>+45.8%</w:t>
            </w:r>
          </w:p>
        </w:tc>
        <w:tc>
          <w:tcPr>
            <w:tcW w:type="dxa" w:w="1234"/>
          </w:tcPr>
          <w:p>
            <w:r>
              <w:rPr>
                <w:rFonts w:ascii="Calibri" w:hAnsi="Calibri"/>
                <w:sz w:val="22"/>
              </w:rPr>
              <w:t>FY ~$11.3B</w:t>
            </w:r>
          </w:p>
        </w:tc>
        <w:tc>
          <w:tcPr>
            <w:tcW w:type="dxa" w:w="1234"/>
          </w:tcPr>
          <w:p>
            <w:r>
              <w:rPr>
                <w:rFonts w:ascii="Calibri" w:hAnsi="Calibri"/>
                <w:sz w:val="22"/>
              </w:rPr>
              <w:t>~In line</w:t>
            </w:r>
          </w:p>
        </w:tc>
      </w:tr>
      <w:tr>
        <w:tc>
          <w:tcPr>
            <w:tcW w:type="dxa" w:w="1234"/>
          </w:tcPr>
          <w:p>
            <w:r>
              <w:rPr>
                <w:rFonts w:ascii="Calibri" w:hAnsi="Calibri"/>
                <w:sz w:val="22"/>
              </w:rPr>
              <w:t>Total Loans &amp; Leases</w:t>
            </w:r>
          </w:p>
        </w:tc>
        <w:tc>
          <w:tcPr>
            <w:tcW w:type="dxa" w:w="1234"/>
          </w:tcPr>
          <w:p>
            <w:r>
              <w:rPr>
                <w:rFonts w:ascii="Calibri" w:hAnsi="Calibri"/>
                <w:sz w:val="22"/>
              </w:rPr>
              <w:t>$188.8B</w:t>
            </w:r>
          </w:p>
        </w:tc>
        <w:tc>
          <w:tcPr>
            <w:tcW w:type="dxa" w:w="1234"/>
          </w:tcPr>
          <w:p>
            <w:r>
              <w:rPr>
                <w:rFonts w:ascii="Calibri" w:hAnsi="Calibri"/>
                <w:sz w:val="22"/>
              </w:rPr>
              <w:t>$134.9B</w:t>
            </w:r>
          </w:p>
        </w:tc>
        <w:tc>
          <w:tcPr>
            <w:tcW w:type="dxa" w:w="1234"/>
          </w:tcPr>
          <w:p>
            <w:r>
              <w:rPr>
                <w:rFonts w:ascii="Calibri" w:hAnsi="Calibri"/>
                <w:sz w:val="22"/>
              </w:rPr>
              <w:t>$190.6B</w:t>
            </w:r>
          </w:p>
        </w:tc>
        <w:tc>
          <w:tcPr>
            <w:tcW w:type="dxa" w:w="1234"/>
          </w:tcPr>
          <w:p>
            <w:r>
              <w:rPr>
                <w:rFonts w:ascii="Calibri" w:hAnsi="Calibri"/>
                <w:sz w:val="22"/>
              </w:rPr>
              <w:t>+41.3%</w:t>
            </w:r>
          </w:p>
        </w:tc>
        <w:tc>
          <w:tcPr>
            <w:tcW w:type="dxa" w:w="1234"/>
          </w:tcPr>
          <w:p>
            <w:r>
              <w:rPr>
                <w:rFonts w:ascii="Calibri" w:hAnsi="Calibri"/>
                <w:sz w:val="22"/>
              </w:rPr>
              <w:t>Midpoint of guided range (incl. Cadence)</w:t>
            </w:r>
          </w:p>
        </w:tc>
        <w:tc>
          <w:tcPr>
            <w:tcW w:type="dxa" w:w="1234"/>
          </w:tcPr>
          <w:p>
            <w:r>
              <w:rPr>
                <w:rFonts w:ascii="Calibri" w:hAnsi="Calibri"/>
                <w:sz w:val="22"/>
              </w:rPr>
              <w:t>~Slightly below midpoint</w:t>
            </w:r>
          </w:p>
        </w:tc>
      </w:tr>
      <w:tr>
        <w:tc>
          <w:tcPr>
            <w:tcW w:type="dxa" w:w="1234"/>
          </w:tcPr>
          <w:p>
            <w:r>
              <w:rPr>
                <w:rFonts w:ascii="Calibri" w:hAnsi="Calibri"/>
                <w:sz w:val="22"/>
              </w:rPr>
              <w:t>Total Deposits</w:t>
            </w:r>
          </w:p>
        </w:tc>
        <w:tc>
          <w:tcPr>
            <w:tcW w:type="dxa" w:w="1234"/>
          </w:tcPr>
          <w:p>
            <w:r>
              <w:rPr>
                <w:rFonts w:ascii="Calibri" w:hAnsi="Calibri"/>
                <w:sz w:val="22"/>
              </w:rPr>
              <w:t>$223.5B</w:t>
            </w:r>
          </w:p>
        </w:tc>
        <w:tc>
          <w:tcPr>
            <w:tcW w:type="dxa" w:w="1234"/>
          </w:tcPr>
          <w:p>
            <w:r>
              <w:rPr>
                <w:rFonts w:ascii="Calibri" w:hAnsi="Calibri"/>
                <w:sz w:val="22"/>
              </w:rPr>
              <w:t>$163.4B</w:t>
            </w:r>
          </w:p>
        </w:tc>
        <w:tc>
          <w:tcPr>
            <w:tcW w:type="dxa" w:w="1234"/>
          </w:tcPr>
          <w:p>
            <w:r>
              <w:rPr>
                <w:rFonts w:ascii="Calibri" w:hAnsi="Calibri"/>
                <w:sz w:val="22"/>
              </w:rPr>
              <w:t>$222.0B</w:t>
            </w:r>
          </w:p>
        </w:tc>
        <w:tc>
          <w:tcPr>
            <w:tcW w:type="dxa" w:w="1234"/>
          </w:tcPr>
          <w:p>
            <w:r>
              <w:rPr>
                <w:rFonts w:ascii="Calibri" w:hAnsi="Calibri"/>
                <w:sz w:val="22"/>
              </w:rPr>
              <w:t>+35.9%</w:t>
            </w:r>
          </w:p>
        </w:tc>
        <w:tc>
          <w:tcPr>
            <w:tcW w:type="dxa" w:w="1234"/>
          </w:tcPr>
          <w:p>
            <w:r>
              <w:rPr>
                <w:rFonts w:ascii="Calibri" w:hAnsi="Calibri"/>
                <w:sz w:val="22"/>
              </w:rPr>
              <w:t>Continued strong organic growth</w:t>
            </w:r>
          </w:p>
        </w:tc>
        <w:tc>
          <w:tcPr>
            <w:tcW w:type="dxa" w:w="1234"/>
          </w:tcPr>
          <w:p>
            <w:r>
              <w:rPr>
                <w:rFonts w:ascii="Calibri" w:hAnsi="Calibri"/>
                <w:sz w:val="22"/>
              </w:rPr>
              <w:t>~Slight miss vs. Q1 level</w:t>
            </w:r>
          </w:p>
        </w:tc>
      </w:tr>
      <w:tr>
        <w:tc>
          <w:tcPr>
            <w:tcW w:type="dxa" w:w="1234"/>
          </w:tcPr>
          <w:p>
            <w:r>
              <w:rPr>
                <w:rFonts w:ascii="Calibri" w:hAnsi="Calibri"/>
                <w:sz w:val="22"/>
              </w:rPr>
              <w:t>Efficiency Ratio</w:t>
            </w:r>
          </w:p>
        </w:tc>
        <w:tc>
          <w:tcPr>
            <w:tcW w:type="dxa" w:w="1234"/>
          </w:tcPr>
          <w:p>
            <w:r>
              <w:rPr>
                <w:rFonts w:ascii="Calibri" w:hAnsi="Calibri"/>
                <w:sz w:val="22"/>
              </w:rPr>
              <w:t>68.9% (incl. acq. costs)</w:t>
            </w:r>
          </w:p>
        </w:tc>
        <w:tc>
          <w:tcPr>
            <w:tcW w:type="dxa" w:w="1234"/>
          </w:tcPr>
          <w:p>
            <w:r>
              <w:rPr>
                <w:rFonts w:ascii="Calibri" w:hAnsi="Calibri"/>
                <w:sz w:val="22"/>
              </w:rPr>
              <w:t>61.8%</w:t>
            </w:r>
          </w:p>
        </w:tc>
        <w:tc>
          <w:tcPr>
            <w:tcW w:type="dxa" w:w="1234"/>
          </w:tcPr>
          <w:p>
            <w:r>
              <w:rPr>
                <w:rFonts w:ascii="Calibri" w:hAnsi="Calibri"/>
                <w:sz w:val="22"/>
              </w:rPr>
              <w:t>60.3%</w:t>
            </w:r>
          </w:p>
        </w:tc>
        <w:tc>
          <w:tcPr>
            <w:tcW w:type="dxa" w:w="1234"/>
          </w:tcPr>
          <w:p>
            <w:r>
              <w:rPr>
                <w:rFonts w:ascii="Calibri" w:hAnsi="Calibri"/>
                <w:sz w:val="22"/>
              </w:rPr>
              <w:t>-150 bps</w:t>
            </w:r>
          </w:p>
        </w:tc>
        <w:tc>
          <w:tcPr>
            <w:tcW w:type="dxa" w:w="1234"/>
          </w:tcPr>
          <w:p>
            <w:r>
              <w:rPr>
                <w:rFonts w:ascii="Calibri" w:hAnsi="Calibri"/>
                <w:sz w:val="22"/>
              </w:rPr>
              <w:t>Q4 2026 exit: mid-to-low 54%</w:t>
            </w:r>
          </w:p>
        </w:tc>
        <w:tc>
          <w:tcPr>
            <w:tcW w:type="dxa" w:w="1234"/>
          </w:tcPr>
          <w:p>
            <w:r>
              <w:rPr>
                <w:rFonts w:ascii="Calibri" w:hAnsi="Calibri"/>
                <w:sz w:val="22"/>
              </w:rPr>
              <w:t>Tracking toward target</w:t>
            </w:r>
          </w:p>
        </w:tc>
      </w:tr>
      <w:tr>
        <w:tc>
          <w:tcPr>
            <w:tcW w:type="dxa" w:w="1234"/>
          </w:tcPr>
          <w:p>
            <w:r>
              <w:rPr>
                <w:rFonts w:ascii="Calibri" w:hAnsi="Calibri"/>
                <w:sz w:val="22"/>
              </w:rPr>
              <w:t>Net Charge-Offs / Avg. Loans</w:t>
            </w:r>
          </w:p>
        </w:tc>
        <w:tc>
          <w:tcPr>
            <w:tcW w:type="dxa" w:w="1234"/>
          </w:tcPr>
          <w:p>
            <w:r>
              <w:rPr>
                <w:rFonts w:ascii="Calibri" w:hAnsi="Calibri"/>
                <w:sz w:val="22"/>
              </w:rPr>
              <w:t>0.26%</w:t>
            </w:r>
          </w:p>
        </w:tc>
        <w:tc>
          <w:tcPr>
            <w:tcW w:type="dxa" w:w="1234"/>
          </w:tcPr>
          <w:p>
            <w:r>
              <w:rPr>
                <w:rFonts w:ascii="Calibri" w:hAnsi="Calibri"/>
                <w:sz w:val="22"/>
              </w:rPr>
              <w:t>0.20%</w:t>
            </w:r>
          </w:p>
        </w:tc>
        <w:tc>
          <w:tcPr>
            <w:tcW w:type="dxa" w:w="1234"/>
          </w:tcPr>
          <w:p>
            <w:r>
              <w:rPr>
                <w:rFonts w:ascii="Calibri" w:hAnsi="Calibri"/>
                <w:sz w:val="22"/>
              </w:rPr>
              <w:t>0.26%</w:t>
            </w:r>
          </w:p>
        </w:tc>
        <w:tc>
          <w:tcPr>
            <w:tcW w:type="dxa" w:w="1234"/>
          </w:tcPr>
          <w:p>
            <w:r>
              <w:rPr>
                <w:rFonts w:ascii="Calibri" w:hAnsi="Calibri"/>
                <w:sz w:val="22"/>
              </w:rPr>
              <w:t>+6 bps</w:t>
            </w:r>
          </w:p>
        </w:tc>
        <w:tc>
          <w:tcPr>
            <w:tcW w:type="dxa" w:w="1234"/>
          </w:tcPr>
          <w:p>
            <w:r>
              <w:rPr>
                <w:rFonts w:ascii="Calibri" w:hAnsi="Calibri"/>
                <w:sz w:val="22"/>
              </w:rPr>
              <w:t>25–35 bps for FY 2026</w:t>
            </w:r>
          </w:p>
        </w:tc>
        <w:tc>
          <w:tcPr>
            <w:tcW w:type="dxa" w:w="1234"/>
          </w:tcPr>
          <w:p>
            <w:r>
              <w:rPr>
                <w:rFonts w:ascii="Calibri" w:hAnsi="Calibri"/>
                <w:sz w:val="22"/>
              </w:rPr>
              <w:t>Well within guide</w:t>
            </w:r>
          </w:p>
        </w:tc>
      </w:tr>
    </w:tbl>
    <w:p>
      <w:r>
        <w:rPr>
          <w:rFonts w:ascii="Calibri" w:hAnsi="Calibri"/>
          <w:color w:val="525866"/>
          <w:sz w:val="22"/>
        </w:rPr>
        <w:t>Sources: Visible Alpha consensus and actuals data. YoY comparisons reflect Cadence/Veritex consolidation impact beginning Q1 2026; organic comparisons are not directly comparable. NIM consensus of 3.25% is the latest VA estimate for 2QFY-2026.</w:t>
      </w:r>
    </w:p>
    <w:p>
      <w:pPr>
        <w:pStyle w:val="Heading3"/>
      </w:pPr>
      <w:r>
        <w:rPr>
          <w:rFonts w:ascii="Calibri" w:hAnsi="Calibri"/>
          <w:b/>
          <w:color w:val="3B4259"/>
          <w:sz w:val="24"/>
        </w:rPr>
        <w:t>Table 2 — Beat/Miss History: Last 8 Quarters (Top 2 KPIs: Adj. EPS &amp; NII)</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$0.367</w:t>
            </w:r>
          </w:p>
        </w:tc>
        <w:tc>
          <w:tcPr>
            <w:tcW w:type="dxa" w:w="1440"/>
          </w:tcPr>
          <w:p>
            <w:r>
              <w:rPr>
                <w:rFonts w:ascii="Calibri" w:hAnsi="Calibri"/>
                <w:sz w:val="22"/>
              </w:rPr>
              <w:t>$0.353</w:t>
            </w:r>
          </w:p>
        </w:tc>
        <w:tc>
          <w:tcPr>
            <w:tcW w:type="dxa" w:w="1440"/>
          </w:tcPr>
          <w:p>
            <w:r>
              <w:rPr>
                <w:rFonts w:ascii="Calibri" w:hAnsi="Calibri"/>
                <w:b/>
                <w:color w:val="30A46C"/>
                <w:sz w:val="22"/>
              </w:rPr>
              <w:t>+4.0%</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NII</w:t>
            </w:r>
          </w:p>
        </w:tc>
        <w:tc>
          <w:tcPr>
            <w:tcW w:type="dxa" w:w="1440"/>
          </w:tcPr>
          <w:p>
            <w:r>
              <w:rPr>
                <w:rFonts w:ascii="Calibri" w:hAnsi="Calibri"/>
                <w:sz w:val="22"/>
              </w:rPr>
              <w:t>$1,891M</w:t>
            </w:r>
          </w:p>
        </w:tc>
        <w:tc>
          <w:tcPr>
            <w:tcW w:type="dxa" w:w="1440"/>
          </w:tcPr>
          <w:p>
            <w:r>
              <w:rPr>
                <w:rFonts w:ascii="Calibri" w:hAnsi="Calibri"/>
                <w:sz w:val="22"/>
              </w:rPr>
              <w:t>$1,906M</w:t>
            </w:r>
          </w:p>
        </w:tc>
        <w:tc>
          <w:tcPr>
            <w:tcW w:type="dxa" w:w="1440"/>
          </w:tcPr>
          <w:p>
            <w:r>
              <w:rPr>
                <w:rFonts w:ascii="Calibri" w:hAnsi="Calibri"/>
                <w:b/>
                <w:color w:val="E5484D"/>
                <w:sz w:val="22"/>
              </w:rPr>
              <w:t>-0.8%</w:t>
            </w:r>
          </w:p>
        </w:tc>
        <w:tc>
          <w:tcPr>
            <w:tcW w:type="dxa" w:w="1440"/>
          </w:tcPr>
          <w:p>
            <w:r>
              <w:rPr>
                <w:rFonts w:ascii="Calibri" w:hAnsi="Calibri"/>
                <w:sz w:val="22"/>
              </w:rPr>
              <w:t>Slight 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$0.366</w:t>
            </w:r>
          </w:p>
        </w:tc>
        <w:tc>
          <w:tcPr>
            <w:tcW w:type="dxa" w:w="1440"/>
          </w:tcPr>
          <w:p>
            <w:r>
              <w:rPr>
                <w:rFonts w:ascii="Calibri" w:hAnsi="Calibri"/>
                <w:sz w:val="22"/>
              </w:rPr>
              <w:t>$0.378</w:t>
            </w:r>
          </w:p>
        </w:tc>
        <w:tc>
          <w:tcPr>
            <w:tcW w:type="dxa" w:w="1440"/>
          </w:tcPr>
          <w:p>
            <w:r>
              <w:rPr>
                <w:rFonts w:ascii="Calibri" w:hAnsi="Calibri"/>
                <w:b/>
                <w:color w:val="E5484D"/>
                <w:sz w:val="22"/>
              </w:rPr>
              <w:t>-3.2%</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NII</w:t>
            </w:r>
          </w:p>
        </w:tc>
        <w:tc>
          <w:tcPr>
            <w:tcW w:type="dxa" w:w="1440"/>
          </w:tcPr>
          <w:p>
            <w:r>
              <w:rPr>
                <w:rFonts w:ascii="Calibri" w:hAnsi="Calibri"/>
                <w:sz w:val="22"/>
              </w:rPr>
              <w:t>$1,592M</w:t>
            </w:r>
          </w:p>
        </w:tc>
        <w:tc>
          <w:tcPr>
            <w:tcW w:type="dxa" w:w="1440"/>
          </w:tcPr>
          <w:p>
            <w:r>
              <w:rPr>
                <w:rFonts w:ascii="Calibri" w:hAnsi="Calibri"/>
                <w:sz w:val="22"/>
              </w:rPr>
              <w:t>$1,589M</w:t>
            </w:r>
          </w:p>
        </w:tc>
        <w:tc>
          <w:tcPr>
            <w:tcW w:type="dxa" w:w="1440"/>
          </w:tcPr>
          <w:p>
            <w:r>
              <w:rPr>
                <w:rFonts w:ascii="Calibri" w:hAnsi="Calibri"/>
                <w:b/>
                <w:color w:val="30A46C"/>
                <w:sz w:val="22"/>
              </w:rPr>
              <w:t>+0.2%</w:t>
            </w:r>
          </w:p>
        </w:tc>
        <w:tc>
          <w:tcPr>
            <w:tcW w:type="dxa" w:w="1440"/>
          </w:tcPr>
          <w:p>
            <w:r>
              <w:rPr>
                <w:rFonts w:ascii="Calibri" w:hAnsi="Calibri"/>
                <w:sz w:val="22"/>
              </w:rPr>
              <w:t>In Line / 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$0.396</w:t>
            </w:r>
          </w:p>
        </w:tc>
        <w:tc>
          <w:tcPr>
            <w:tcW w:type="dxa" w:w="1440"/>
          </w:tcPr>
          <w:p>
            <w:r>
              <w:rPr>
                <w:rFonts w:ascii="Calibri" w:hAnsi="Calibri"/>
                <w:sz w:val="22"/>
              </w:rPr>
              <w:t>$0.373</w:t>
            </w:r>
          </w:p>
        </w:tc>
        <w:tc>
          <w:tcPr>
            <w:tcW w:type="dxa" w:w="1440"/>
          </w:tcPr>
          <w:p>
            <w:r>
              <w:rPr>
                <w:rFonts w:ascii="Calibri" w:hAnsi="Calibri"/>
                <w:b/>
                <w:color w:val="30A46C"/>
                <w:sz w:val="22"/>
              </w:rPr>
              <w:t>+6.2%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NII</w:t>
            </w:r>
          </w:p>
        </w:tc>
        <w:tc>
          <w:tcPr>
            <w:tcW w:type="dxa" w:w="1440"/>
          </w:tcPr>
          <w:p>
            <w:r>
              <w:rPr>
                <w:rFonts w:ascii="Calibri" w:hAnsi="Calibri"/>
                <w:sz w:val="22"/>
              </w:rPr>
              <w:t>$1,506M</w:t>
            </w:r>
          </w:p>
        </w:tc>
        <w:tc>
          <w:tcPr>
            <w:tcW w:type="dxa" w:w="1440"/>
          </w:tcPr>
          <w:p>
            <w:r>
              <w:rPr>
                <w:rFonts w:ascii="Calibri" w:hAnsi="Calibri"/>
                <w:sz w:val="22"/>
              </w:rPr>
              <w:t>$1,490M</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$0.377</w:t>
            </w:r>
          </w:p>
        </w:tc>
        <w:tc>
          <w:tcPr>
            <w:tcW w:type="dxa" w:w="1440"/>
          </w:tcPr>
          <w:p>
            <w:r>
              <w:rPr>
                <w:rFonts w:ascii="Calibri" w:hAnsi="Calibri"/>
                <w:sz w:val="22"/>
              </w:rPr>
              <w:t>$0.349</w:t>
            </w:r>
          </w:p>
        </w:tc>
        <w:tc>
          <w:tcPr>
            <w:tcW w:type="dxa" w:w="1440"/>
          </w:tcPr>
          <w:p>
            <w:r>
              <w:rPr>
                <w:rFonts w:ascii="Calibri" w:hAnsi="Calibri"/>
                <w:b/>
                <w:color w:val="30A46C"/>
                <w:sz w:val="22"/>
              </w:rPr>
              <w:t>+8.0%</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NII</w:t>
            </w:r>
          </w:p>
        </w:tc>
        <w:tc>
          <w:tcPr>
            <w:tcW w:type="dxa" w:w="1440"/>
          </w:tcPr>
          <w:p>
            <w:r>
              <w:rPr>
                <w:rFonts w:ascii="Calibri" w:hAnsi="Calibri"/>
                <w:sz w:val="22"/>
              </w:rPr>
              <w:t>$1,467M</w:t>
            </w:r>
          </w:p>
        </w:tc>
        <w:tc>
          <w:tcPr>
            <w:tcW w:type="dxa" w:w="1440"/>
          </w:tcPr>
          <w:p>
            <w:r>
              <w:rPr>
                <w:rFonts w:ascii="Calibri" w:hAnsi="Calibri"/>
                <w:sz w:val="22"/>
              </w:rPr>
              <w:t>$1,461M</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$0.343</w:t>
            </w:r>
          </w:p>
        </w:tc>
        <w:tc>
          <w:tcPr>
            <w:tcW w:type="dxa" w:w="1440"/>
          </w:tcPr>
          <w:p>
            <w:r>
              <w:rPr>
                <w:rFonts w:ascii="Calibri" w:hAnsi="Calibri"/>
                <w:sz w:val="22"/>
              </w:rPr>
              <w:t>$0.313</w:t>
            </w:r>
          </w:p>
        </w:tc>
        <w:tc>
          <w:tcPr>
            <w:tcW w:type="dxa" w:w="1440"/>
          </w:tcPr>
          <w:p>
            <w:r>
              <w:rPr>
                <w:rFonts w:ascii="Calibri" w:hAnsi="Calibri"/>
                <w:b/>
                <w:color w:val="30A46C"/>
                <w:sz w:val="22"/>
              </w:rPr>
              <w:t>+9.6%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NII</w:t>
            </w:r>
          </w:p>
        </w:tc>
        <w:tc>
          <w:tcPr>
            <w:tcW w:type="dxa" w:w="1440"/>
          </w:tcPr>
          <w:p>
            <w:r>
              <w:rPr>
                <w:rFonts w:ascii="Calibri" w:hAnsi="Calibri"/>
                <w:sz w:val="22"/>
              </w:rPr>
              <w:t>$1,426M</w:t>
            </w:r>
          </w:p>
        </w:tc>
        <w:tc>
          <w:tcPr>
            <w:tcW w:type="dxa" w:w="1440"/>
          </w:tcPr>
          <w:p>
            <w:r>
              <w:rPr>
                <w:rFonts w:ascii="Calibri" w:hAnsi="Calibri"/>
                <w:sz w:val="22"/>
              </w:rPr>
              <w:t>$1,374M</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$0.346</w:t>
            </w:r>
          </w:p>
        </w:tc>
        <w:tc>
          <w:tcPr>
            <w:tcW w:type="dxa" w:w="1440"/>
          </w:tcPr>
          <w:p>
            <w:r>
              <w:rPr>
                <w:rFonts w:ascii="Calibri" w:hAnsi="Calibri"/>
                <w:sz w:val="22"/>
              </w:rPr>
              <w:t>$0.316</w:t>
            </w:r>
          </w:p>
        </w:tc>
        <w:tc>
          <w:tcPr>
            <w:tcW w:type="dxa" w:w="1440"/>
          </w:tcPr>
          <w:p>
            <w:r>
              <w:rPr>
                <w:rFonts w:ascii="Calibri" w:hAnsi="Calibri"/>
                <w:b/>
                <w:color w:val="30A46C"/>
                <w:sz w:val="22"/>
              </w:rPr>
              <w:t>+9.5%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NII</w:t>
            </w:r>
          </w:p>
        </w:tc>
        <w:tc>
          <w:tcPr>
            <w:tcW w:type="dxa" w:w="1440"/>
          </w:tcPr>
          <w:p>
            <w:r>
              <w:rPr>
                <w:rFonts w:ascii="Calibri" w:hAnsi="Calibri"/>
                <w:sz w:val="22"/>
              </w:rPr>
              <w:t>$1,395M</w:t>
            </w:r>
          </w:p>
        </w:tc>
        <w:tc>
          <w:tcPr>
            <w:tcW w:type="dxa" w:w="1440"/>
          </w:tcPr>
          <w:p>
            <w:r>
              <w:rPr>
                <w:rFonts w:ascii="Calibri" w:hAnsi="Calibri"/>
                <w:sz w:val="22"/>
              </w:rPr>
              <w:t>$1,358M</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$0.332</w:t>
            </w:r>
          </w:p>
        </w:tc>
        <w:tc>
          <w:tcPr>
            <w:tcW w:type="dxa" w:w="1440"/>
          </w:tcPr>
          <w:p>
            <w:r>
              <w:rPr>
                <w:rFonts w:ascii="Calibri" w:hAnsi="Calibri"/>
                <w:sz w:val="22"/>
              </w:rPr>
              <w:t>$0.297</w:t>
            </w:r>
          </w:p>
        </w:tc>
        <w:tc>
          <w:tcPr>
            <w:tcW w:type="dxa" w:w="1440"/>
          </w:tcPr>
          <w:p>
            <w:r>
              <w:rPr>
                <w:rFonts w:ascii="Calibri" w:hAnsi="Calibri"/>
                <w:b/>
                <w:color w:val="30A46C"/>
                <w:sz w:val="22"/>
              </w:rPr>
              <w:t>+11.5%</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NII</w:t>
            </w:r>
          </w:p>
        </w:tc>
        <w:tc>
          <w:tcPr>
            <w:tcW w:type="dxa" w:w="1440"/>
          </w:tcPr>
          <w:p>
            <w:r>
              <w:rPr>
                <w:rFonts w:ascii="Calibri" w:hAnsi="Calibri"/>
                <w:sz w:val="22"/>
              </w:rPr>
              <w:t>$1,351M</w:t>
            </w:r>
          </w:p>
        </w:tc>
        <w:tc>
          <w:tcPr>
            <w:tcW w:type="dxa" w:w="1440"/>
          </w:tcPr>
          <w:p>
            <w:r>
              <w:rPr>
                <w:rFonts w:ascii="Calibri" w:hAnsi="Calibri"/>
                <w:sz w:val="22"/>
              </w:rPr>
              <w:t>$1,340M</w:t>
            </w:r>
          </w:p>
        </w:tc>
        <w:tc>
          <w:tcPr>
            <w:tcW w:type="dxa" w:w="1440"/>
          </w:tcPr>
          <w:p>
            <w:r>
              <w:rPr>
                <w:rFonts w:ascii="Calibri" w:hAnsi="Calibri"/>
                <w:b/>
                <w:color w:val="30A46C"/>
                <w:sz w:val="22"/>
              </w:rPr>
              <w:t>+0.8%</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HBAN has beaten adjusted EPS consensus in 7 of the last 8 quarters, with an average beat of ~+7%; NII beats have been consistent but narrower (+0.4% to +3.8%), with the lone Q1 2026 NII miss driven by the deliberate $4B Fed cash liquidity build that mechanically reduced NIM with de minimis revenue impact. The EPS beat cadence is strong and the bar is historically beatable.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modestly recalibrated since Q1 — NII moved to the low end of the range and NIM was revised to high-3.20s — but fee income guidance was raised by 4 percentage points and expense growth was tightened lower, leaving the net earnings outlook broadly unchanged. Management tone has shifted from cautious (April) to constructive (June), with the CFO explicitly calling the environment "more favorable" than at Q1 earnings.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Net Interest Income (FY 2026)</w:t>
            </w:r>
          </w:p>
        </w:tc>
        <w:tc>
          <w:tcPr>
            <w:tcW w:type="dxa" w:w="1728"/>
          </w:tcPr>
          <w:p>
            <w:r>
              <w:rPr>
                <w:rFonts w:ascii="Calibri" w:hAnsi="Calibri"/>
                <w:sz w:val="22"/>
              </w:rPr>
              <w:t>Low end of guided range (double-digit growth)</w:t>
            </w:r>
          </w:p>
        </w:tc>
        <w:tc>
          <w:tcPr>
            <w:tcW w:type="dxa" w:w="1728"/>
          </w:tcPr>
          <w:p>
            <w:r>
              <w:rPr>
                <w:rFonts w:ascii="Calibri" w:hAnsi="Calibri"/>
                <w:sz w:val="22"/>
              </w:rPr>
              <w:t>—</w:t>
            </w:r>
          </w:p>
        </w:tc>
        <w:tc>
          <w:tcPr>
            <w:tcW w:type="dxa" w:w="1728"/>
          </w:tcPr>
          <w:p>
            <w:r>
              <w:rPr>
                <w:rFonts w:ascii="Calibri" w:hAnsi="Calibri"/>
                <w:sz w:val="22"/>
              </w:rPr>
              <w:t>$8.33B</w:t>
            </w:r>
          </w:p>
        </w:tc>
        <w:tc>
          <w:tcPr>
            <w:tcW w:type="dxa" w:w="1728"/>
          </w:tcPr>
          <w:p>
            <w:r>
              <w:rPr>
                <w:rFonts w:ascii="Calibri" w:hAnsi="Calibri"/>
                <w:sz w:val="22"/>
              </w:rPr>
              <w:t>Reaffirmed at Jun 9 MS Conference; NIM exit high-3.20s</w:t>
            </w:r>
          </w:p>
        </w:tc>
      </w:tr>
      <w:tr>
        <w:tc>
          <w:tcPr>
            <w:tcW w:type="dxa" w:w="1728"/>
          </w:tcPr>
          <w:p>
            <w:r>
              <w:rPr>
                <w:rFonts w:ascii="Calibri" w:hAnsi="Calibri"/>
                <w:sz w:val="22"/>
              </w:rPr>
              <w:t>Net Interest Margin (FY 2026)</w:t>
            </w:r>
          </w:p>
        </w:tc>
        <w:tc>
          <w:tcPr>
            <w:tcW w:type="dxa" w:w="1728"/>
          </w:tcPr>
          <w:p>
            <w:r>
              <w:rPr>
                <w:rFonts w:ascii="Calibri" w:hAnsi="Calibri"/>
                <w:sz w:val="22"/>
              </w:rPr>
              <w:t>High-3.20s (revised down from mid-3.30s at prior guidance)</w:t>
            </w:r>
          </w:p>
        </w:tc>
        <w:tc>
          <w:tcPr>
            <w:tcW w:type="dxa" w:w="1728"/>
          </w:tcPr>
          <w:p>
            <w:r>
              <w:rPr>
                <w:rFonts w:ascii="Calibri" w:hAnsi="Calibri"/>
                <w:sz w:val="22"/>
              </w:rPr>
              <w:t>—</w:t>
            </w:r>
          </w:p>
        </w:tc>
        <w:tc>
          <w:tcPr>
            <w:tcW w:type="dxa" w:w="1728"/>
          </w:tcPr>
          <w:p>
            <w:r>
              <w:rPr>
                <w:rFonts w:ascii="Calibri" w:hAnsi="Calibri"/>
                <w:sz w:val="22"/>
              </w:rPr>
              <w:t>3.27% (FY)</w:t>
            </w:r>
          </w:p>
        </w:tc>
        <w:tc>
          <w:tcPr>
            <w:tcW w:type="dxa" w:w="1728"/>
          </w:tcPr>
          <w:p>
            <w:r>
              <w:rPr>
                <w:rFonts w:ascii="Calibri" w:hAnsi="Calibri"/>
                <w:sz w:val="22"/>
              </w:rPr>
              <w:t>Reaffirmed Jun 9; Q2/Q3 variable during Cadence optimization; liquidity unwind = upside</w:t>
            </w:r>
          </w:p>
        </w:tc>
      </w:tr>
      <w:tr>
        <w:tc>
          <w:tcPr>
            <w:tcW w:type="dxa" w:w="1728"/>
          </w:tcPr>
          <w:p>
            <w:r>
              <w:rPr>
                <w:rFonts w:ascii="Calibri" w:hAnsi="Calibri"/>
                <w:sz w:val="22"/>
              </w:rPr>
              <w:t>Fee Revenue Growth (FY 2026)</w:t>
            </w:r>
          </w:p>
        </w:tc>
        <w:tc>
          <w:tcPr>
            <w:tcW w:type="dxa" w:w="1728"/>
          </w:tcPr>
          <w:p>
            <w:r>
              <w:rPr>
                <w:rFonts w:ascii="Calibri" w:hAnsi="Calibri"/>
                <w:sz w:val="22"/>
              </w:rPr>
              <w:t>31%–33% (raised +4pp at Q1 earnings from prior range)</w:t>
            </w:r>
          </w:p>
        </w:tc>
        <w:tc>
          <w:tcPr>
            <w:tcW w:type="dxa" w:w="1728"/>
          </w:tcPr>
          <w:p>
            <w:r>
              <w:rPr>
                <w:rFonts w:ascii="Calibri" w:hAnsi="Calibri"/>
                <w:sz w:val="22"/>
              </w:rPr>
              <w:t>—</w:t>
            </w:r>
          </w:p>
        </w:tc>
        <w:tc>
          <w:tcPr>
            <w:tcW w:type="dxa" w:w="1728"/>
          </w:tcPr>
          <w:p>
            <w:r>
              <w:rPr>
                <w:rFonts w:ascii="Calibri" w:hAnsi="Calibri"/>
                <w:sz w:val="22"/>
              </w:rPr>
              <w:t>~31–33% (in line)</w:t>
            </w:r>
          </w:p>
        </w:tc>
        <w:tc>
          <w:tcPr>
            <w:tcW w:type="dxa" w:w="1728"/>
          </w:tcPr>
          <w:p>
            <w:r>
              <w:rPr>
                <w:rFonts w:ascii="Calibri" w:hAnsi="Calibri"/>
                <w:sz w:val="22"/>
              </w:rPr>
              <w:t>Reaffirmed; capital markets, payments, wealth all growing double-digits</w:t>
            </w:r>
          </w:p>
        </w:tc>
      </w:tr>
      <w:tr>
        <w:tc>
          <w:tcPr>
            <w:tcW w:type="dxa" w:w="1728"/>
          </w:tcPr>
          <w:p>
            <w:r>
              <w:rPr>
                <w:rFonts w:ascii="Calibri" w:hAnsi="Calibri"/>
                <w:sz w:val="22"/>
              </w:rPr>
              <w:t>Expense Growth (FY 2026)</w:t>
            </w:r>
          </w:p>
        </w:tc>
        <w:tc>
          <w:tcPr>
            <w:tcW w:type="dxa" w:w="1728"/>
          </w:tcPr>
          <w:p>
            <w:r>
              <w:rPr>
                <w:rFonts w:ascii="Calibri" w:hAnsi="Calibri"/>
                <w:sz w:val="22"/>
              </w:rPr>
              <w:t>Lower half of 32.5%–33.5% range (tightened at Q1 earnings)</w:t>
            </w:r>
          </w:p>
        </w:tc>
        <w:tc>
          <w:tcPr>
            <w:tcW w:type="dxa" w:w="1728"/>
          </w:tcPr>
          <w:p>
            <w:r>
              <w:rPr>
                <w:rFonts w:ascii="Calibri" w:hAnsi="Calibri"/>
                <w:sz w:val="22"/>
              </w:rPr>
              <w:t>—</w:t>
            </w:r>
          </w:p>
        </w:tc>
        <w:tc>
          <w:tcPr>
            <w:tcW w:type="dxa" w:w="1728"/>
          </w:tcPr>
          <w:p>
            <w:r>
              <w:rPr>
                <w:rFonts w:ascii="Calibri" w:hAnsi="Calibri"/>
                <w:sz w:val="22"/>
              </w:rPr>
              <w:t>~32.5–33.0%</w:t>
            </w:r>
          </w:p>
        </w:tc>
        <w:tc>
          <w:tcPr>
            <w:tcW w:type="dxa" w:w="1728"/>
          </w:tcPr>
          <w:p>
            <w:r>
              <w:rPr>
                <w:rFonts w:ascii="Calibri" w:hAnsi="Calibri"/>
                <w:sz w:val="22"/>
              </w:rPr>
              <w:t>Reaffirmed; $50M baseline tuning action taken; Cadence synergies accelerating</w:t>
            </w:r>
          </w:p>
        </w:tc>
      </w:tr>
      <w:tr>
        <w:tc>
          <w:tcPr>
            <w:tcW w:type="dxa" w:w="1728"/>
          </w:tcPr>
          <w:p>
            <w:r>
              <w:rPr>
                <w:rFonts w:ascii="Calibri" w:hAnsi="Calibri"/>
                <w:sz w:val="22"/>
              </w:rPr>
              <w:t>Operating Leverage (FY 2026)</w:t>
            </w:r>
          </w:p>
        </w:tc>
        <w:tc>
          <w:tcPr>
            <w:tcW w:type="dxa" w:w="1728"/>
          </w:tcPr>
          <w:p>
            <w:r>
              <w:rPr>
                <w:rFonts w:ascii="Calibri" w:hAnsi="Calibri"/>
                <w:sz w:val="22"/>
              </w:rPr>
              <w:t>400–450 bps (revised from higher initial guide at Q1 earnings)</w:t>
            </w:r>
          </w:p>
        </w:tc>
        <w:tc>
          <w:tcPr>
            <w:tcW w:type="dxa" w:w="1728"/>
          </w:tcPr>
          <w:p>
            <w:r>
              <w:rPr>
                <w:rFonts w:ascii="Calibri" w:hAnsi="Calibri"/>
                <w:sz w:val="22"/>
              </w:rPr>
              <w:t>—</w:t>
            </w:r>
          </w:p>
        </w:tc>
        <w:tc>
          <w:tcPr>
            <w:tcW w:type="dxa" w:w="1728"/>
          </w:tcPr>
          <w:p>
            <w:r>
              <w:rPr>
                <w:rFonts w:ascii="Calibri" w:hAnsi="Calibri"/>
                <w:sz w:val="22"/>
              </w:rPr>
              <w:t>~400–450 bps</w:t>
            </w:r>
          </w:p>
        </w:tc>
        <w:tc>
          <w:tcPr>
            <w:tcW w:type="dxa" w:w="1728"/>
          </w:tcPr>
          <w:p>
            <w:r>
              <w:rPr>
                <w:rFonts w:ascii="Calibri" w:hAnsi="Calibri"/>
                <w:sz w:val="22"/>
              </w:rPr>
              <w:t>Reaffirmed; strong positive operating leverage expected for full year</w:t>
            </w:r>
          </w:p>
        </w:tc>
      </w:tr>
      <w:tr>
        <w:tc>
          <w:tcPr>
            <w:tcW w:type="dxa" w:w="1728"/>
          </w:tcPr>
          <w:p>
            <w:r>
              <w:rPr>
                <w:rFonts w:ascii="Calibri" w:hAnsi="Calibri"/>
                <w:sz w:val="22"/>
              </w:rPr>
              <w:t>Q4 2026 Efficiency Ratio</w:t>
            </w:r>
          </w:p>
        </w:tc>
        <w:tc>
          <w:tcPr>
            <w:tcW w:type="dxa" w:w="1728"/>
          </w:tcPr>
          <w:p>
            <w:r>
              <w:rPr>
                <w:rFonts w:ascii="Calibri" w:hAnsi="Calibri"/>
                <w:sz w:val="22"/>
              </w:rPr>
              <w:t>Mid-to-low 54% (improved from prior &lt;55% target)</w:t>
            </w:r>
          </w:p>
        </w:tc>
        <w:tc>
          <w:tcPr>
            <w:tcW w:type="dxa" w:w="1728"/>
          </w:tcPr>
          <w:p>
            <w:r>
              <w:rPr>
                <w:rFonts w:ascii="Calibri" w:hAnsi="Calibri"/>
                <w:sz w:val="22"/>
              </w:rPr>
              <w:t>—</w:t>
            </w:r>
          </w:p>
        </w:tc>
        <w:tc>
          <w:tcPr>
            <w:tcW w:type="dxa" w:w="1728"/>
          </w:tcPr>
          <w:p>
            <w:r>
              <w:rPr>
                <w:rFonts w:ascii="Calibri" w:hAnsi="Calibri"/>
                <w:sz w:val="22"/>
              </w:rPr>
              <w:t>~60.3% FY; Q4 target mid-low 54%</w:t>
            </w:r>
          </w:p>
        </w:tc>
        <w:tc>
          <w:tcPr>
            <w:tcW w:type="dxa" w:w="1728"/>
          </w:tcPr>
          <w:p>
            <w:r>
              <w:rPr>
                <w:rFonts w:ascii="Calibri" w:hAnsi="Calibri"/>
                <w:sz w:val="22"/>
              </w:rPr>
              <w:t>Reaffirmed Jun 9; $435M cumulative cost synergies by Q4 2026</w:t>
            </w:r>
          </w:p>
        </w:tc>
      </w:tr>
      <w:tr>
        <w:tc>
          <w:tcPr>
            <w:tcW w:type="dxa" w:w="1728"/>
          </w:tcPr>
          <w:p>
            <w:r>
              <w:rPr>
                <w:rFonts w:ascii="Calibri" w:hAnsi="Calibri"/>
                <w:sz w:val="22"/>
              </w:rPr>
              <w:t>Loan Growth (FY 2026)</w:t>
            </w:r>
          </w:p>
        </w:tc>
        <w:tc>
          <w:tcPr>
            <w:tcW w:type="dxa" w:w="1728"/>
          </w:tcPr>
          <w:p>
            <w:r>
              <w:rPr>
                <w:rFonts w:ascii="Calibri" w:hAnsi="Calibri"/>
                <w:sz w:val="22"/>
              </w:rPr>
              <w:t>Midpoint of guided range (revised from high end at Q1 earnings)</w:t>
            </w:r>
          </w:p>
        </w:tc>
        <w:tc>
          <w:tcPr>
            <w:tcW w:type="dxa" w:w="1728"/>
          </w:tcPr>
          <w:p>
            <w:r>
              <w:rPr>
                <w:rFonts w:ascii="Calibri" w:hAnsi="Calibri"/>
                <w:sz w:val="22"/>
              </w:rPr>
              <w:t>—</w:t>
            </w:r>
          </w:p>
        </w:tc>
        <w:tc>
          <w:tcPr>
            <w:tcW w:type="dxa" w:w="1728"/>
          </w:tcPr>
          <w:p>
            <w:r>
              <w:rPr>
                <w:rFonts w:ascii="Calibri" w:hAnsi="Calibri"/>
                <w:sz w:val="22"/>
              </w:rPr>
              <w:t>~$195B period-end</w:t>
            </w:r>
          </w:p>
        </w:tc>
        <w:tc>
          <w:tcPr>
            <w:tcW w:type="dxa" w:w="1728"/>
          </w:tcPr>
          <w:p>
            <w:r>
              <w:rPr>
                <w:rFonts w:ascii="Calibri" w:hAnsi="Calibri"/>
                <w:sz w:val="22"/>
              </w:rPr>
              <w:t>Reaffirmed; pipelines strong; CRE construction being tuned lower organically</w:t>
            </w:r>
          </w:p>
        </w:tc>
      </w:tr>
      <w:tr>
        <w:tc>
          <w:tcPr>
            <w:tcW w:type="dxa" w:w="1728"/>
          </w:tcPr>
          <w:p>
            <w:r>
              <w:rPr>
                <w:rFonts w:ascii="Calibri" w:hAnsi="Calibri"/>
                <w:sz w:val="22"/>
              </w:rPr>
              <w:t>NCO Rate (FY 2026)</w:t>
            </w:r>
          </w:p>
        </w:tc>
        <w:tc>
          <w:tcPr>
            <w:tcW w:type="dxa" w:w="1728"/>
          </w:tcPr>
          <w:p>
            <w:r>
              <w:rPr>
                <w:rFonts w:ascii="Calibri" w:hAnsi="Calibri"/>
                <w:sz w:val="22"/>
              </w:rPr>
              <w:t>25–35 bps</w:t>
            </w:r>
          </w:p>
        </w:tc>
        <w:tc>
          <w:tcPr>
            <w:tcW w:type="dxa" w:w="1728"/>
          </w:tcPr>
          <w:p>
            <w:r>
              <w:rPr>
                <w:rFonts w:ascii="Calibri" w:hAnsi="Calibri"/>
                <w:sz w:val="22"/>
              </w:rPr>
              <w:t>—</w:t>
            </w:r>
          </w:p>
        </w:tc>
        <w:tc>
          <w:tcPr>
            <w:tcW w:type="dxa" w:w="1728"/>
          </w:tcPr>
          <w:p>
            <w:r>
              <w:rPr>
                <w:rFonts w:ascii="Calibri" w:hAnsi="Calibri"/>
                <w:sz w:val="22"/>
              </w:rPr>
              <w:t>~27 bps (FY)</w:t>
            </w:r>
          </w:p>
        </w:tc>
        <w:tc>
          <w:tcPr>
            <w:tcW w:type="dxa" w:w="1728"/>
          </w:tcPr>
          <w:p>
            <w:r>
              <w:rPr>
                <w:rFonts w:ascii="Calibri" w:hAnsi="Calibri"/>
                <w:sz w:val="22"/>
              </w:rPr>
              <w:t>Reaffirmed; credit holding in; no deterioration observed as of June</w:t>
            </w:r>
          </w:p>
        </w:tc>
      </w:tr>
      <w:tr>
        <w:tc>
          <w:tcPr>
            <w:tcW w:type="dxa" w:w="1728"/>
          </w:tcPr>
          <w:p>
            <w:r>
              <w:rPr>
                <w:rFonts w:ascii="Calibri" w:hAnsi="Calibri"/>
                <w:sz w:val="22"/>
              </w:rPr>
              <w:t>2027 EPS Target</w:t>
            </w:r>
          </w:p>
        </w:tc>
        <w:tc>
          <w:tcPr>
            <w:tcW w:type="dxa" w:w="1728"/>
          </w:tcPr>
          <w:p>
            <w:r>
              <w:rPr>
                <w:rFonts w:ascii="Calibri" w:hAnsi="Calibri"/>
                <w:sz w:val="22"/>
              </w:rPr>
              <w:t>$1.90–$1.93</w:t>
            </w:r>
          </w:p>
        </w:tc>
        <w:tc>
          <w:tcPr>
            <w:tcW w:type="dxa" w:w="1728"/>
          </w:tcPr>
          <w:p>
            <w:r>
              <w:rPr>
                <w:rFonts w:ascii="Calibri" w:hAnsi="Calibri"/>
                <w:sz w:val="22"/>
              </w:rPr>
              <w:t>—</w:t>
            </w:r>
          </w:p>
        </w:tc>
        <w:tc>
          <w:tcPr>
            <w:tcW w:type="dxa" w:w="1728"/>
          </w:tcPr>
          <w:p>
            <w:r>
              <w:rPr>
                <w:rFonts w:ascii="Calibri" w:hAnsi="Calibri"/>
                <w:sz w:val="22"/>
              </w:rPr>
              <w:t>~$1.90–$1.93</w:t>
            </w:r>
          </w:p>
        </w:tc>
        <w:tc>
          <w:tcPr>
            <w:tcW w:type="dxa" w:w="1728"/>
          </w:tcPr>
          <w:p>
            <w:r>
              <w:rPr>
                <w:rFonts w:ascii="Calibri" w:hAnsi="Calibri"/>
                <w:sz w:val="22"/>
              </w:rPr>
              <w:t>Reaffirmed with high confidence at both May 28 Bernstein and Jun 9 MS conferences</w:t>
            </w:r>
          </w:p>
        </w:tc>
      </w:tr>
      <w:tr>
        <w:tc>
          <w:tcPr>
            <w:tcW w:type="dxa" w:w="1728"/>
          </w:tcPr>
          <w:p>
            <w:r>
              <w:rPr>
                <w:rFonts w:ascii="Calibri" w:hAnsi="Calibri"/>
                <w:sz w:val="22"/>
              </w:rPr>
              <w:t>2027 ROTCE Target</w:t>
            </w:r>
          </w:p>
        </w:tc>
        <w:tc>
          <w:tcPr>
            <w:tcW w:type="dxa" w:w="1728"/>
          </w:tcPr>
          <w:p>
            <w:r>
              <w:rPr>
                <w:rFonts w:ascii="Calibri" w:hAnsi="Calibri"/>
                <w:sz w:val="22"/>
              </w:rPr>
              <w:t>18%–19%</w:t>
            </w:r>
          </w:p>
        </w:tc>
        <w:tc>
          <w:tcPr>
            <w:tcW w:type="dxa" w:w="1728"/>
          </w:tcPr>
          <w:p>
            <w:r>
              <w:rPr>
                <w:rFonts w:ascii="Calibri" w:hAnsi="Calibri"/>
                <w:sz w:val="22"/>
              </w:rPr>
              <w:t>—</w:t>
            </w:r>
          </w:p>
        </w:tc>
        <w:tc>
          <w:tcPr>
            <w:tcW w:type="dxa" w:w="1728"/>
          </w:tcPr>
          <w:p>
            <w:r>
              <w:rPr>
                <w:rFonts w:ascii="Calibri" w:hAnsi="Calibri"/>
                <w:sz w:val="22"/>
              </w:rPr>
              <w:t>N/A (not in VA)</w:t>
            </w:r>
          </w:p>
        </w:tc>
        <w:tc>
          <w:tcPr>
            <w:tcW w:type="dxa" w:w="1728"/>
          </w:tcPr>
          <w:p>
            <w:r>
              <w:rPr>
                <w:rFonts w:ascii="Calibri" w:hAnsi="Calibri"/>
                <w:sz w:val="22"/>
              </w:rPr>
              <w:t>Reaffirmed; Basel III endgame ~80 bps CET1 benefit = incremental buyback opportunity in 2027</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NII and EPS have drifted modestly lower since the Q1 print — EPS consensus slipped ~$0.03 from the post-Q1 baseline — creating a low bar that management's constructive June tone suggests is beatable. Full-year estimates are broadly stable, tracking guidance, with no meaningful divergence.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~Apr 30, 2026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 Q2 2026</w:t>
            </w:r>
          </w:p>
        </w:tc>
        <w:tc>
          <w:tcPr>
            <w:tcW w:type="dxa" w:w="1080"/>
          </w:tcPr>
          <w:p>
            <w:r>
              <w:rPr>
                <w:rFonts w:ascii="Calibri" w:hAnsi="Calibri"/>
                <w:sz w:val="22"/>
              </w:rPr>
              <w:t>$0.385</w:t>
            </w:r>
          </w:p>
        </w:tc>
        <w:tc>
          <w:tcPr>
            <w:tcW w:type="dxa" w:w="1080"/>
          </w:tcPr>
          <w:p>
            <w:r>
              <w:rPr>
                <w:rFonts w:ascii="Calibri" w:hAnsi="Calibri"/>
                <w:sz w:val="22"/>
              </w:rPr>
              <w:t>$0.386</w:t>
            </w:r>
          </w:p>
        </w:tc>
        <w:tc>
          <w:tcPr>
            <w:tcW w:type="dxa" w:w="1080"/>
          </w:tcPr>
          <w:p>
            <w:r>
              <w:rPr>
                <w:rFonts w:ascii="Calibri" w:hAnsi="Calibri"/>
                <w:sz w:val="22"/>
              </w:rPr>
              <w:t>+0.3%</w:t>
            </w:r>
          </w:p>
        </w:tc>
        <w:tc>
          <w:tcPr>
            <w:tcW w:type="dxa" w:w="1080"/>
          </w:tcPr>
          <w:p>
            <w:r>
              <w:rPr>
                <w:rFonts w:ascii="Calibri" w:hAnsi="Calibri"/>
                <w:sz w:val="22"/>
              </w:rPr>
              <w:t>No explicit Q2 guide</w:t>
            </w:r>
          </w:p>
        </w:tc>
        <w:tc>
          <w:tcPr>
            <w:tcW w:type="dxa" w:w="1080"/>
          </w:tcPr>
          <w:p>
            <w:r>
              <w:rPr>
                <w:rFonts w:ascii="Calibri" w:hAnsi="Calibri"/>
                <w:sz w:val="22"/>
              </w:rPr>
              <w:t>No explicit Q2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$1.618</w:t>
            </w:r>
          </w:p>
        </w:tc>
        <w:tc>
          <w:tcPr>
            <w:tcW w:type="dxa" w:w="1080"/>
          </w:tcPr>
          <w:p>
            <w:r>
              <w:rPr>
                <w:rFonts w:ascii="Calibri" w:hAnsi="Calibri"/>
                <w:sz w:val="22"/>
              </w:rPr>
              <w:t>$1.611</w:t>
            </w:r>
          </w:p>
        </w:tc>
        <w:tc>
          <w:tcPr>
            <w:tcW w:type="dxa" w:w="1080"/>
          </w:tcPr>
          <w:p>
            <w:r>
              <w:rPr>
                <w:rFonts w:ascii="Calibri" w:hAnsi="Calibri"/>
                <w:sz w:val="22"/>
              </w:rPr>
              <w:t>-0.4%</w:t>
            </w:r>
          </w:p>
        </w:tc>
        <w:tc>
          <w:tcPr>
            <w:tcW w:type="dxa" w:w="1080"/>
          </w:tcPr>
          <w:p>
            <w:r>
              <w:rPr>
                <w:rFonts w:ascii="Calibri" w:hAnsi="Calibri"/>
                <w:sz w:val="22"/>
              </w:rPr>
              <w:t>Implied by 2027 target of $1.90–$1.93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NII — Q2 2026</w:t>
            </w:r>
          </w:p>
        </w:tc>
        <w:tc>
          <w:tcPr>
            <w:tcW w:type="dxa" w:w="1080"/>
          </w:tcPr>
          <w:p>
            <w:r>
              <w:rPr>
                <w:rFonts w:ascii="Calibri" w:hAnsi="Calibri"/>
                <w:sz w:val="22"/>
              </w:rPr>
              <w:t>$2,101M</w:t>
            </w:r>
          </w:p>
        </w:tc>
        <w:tc>
          <w:tcPr>
            <w:tcW w:type="dxa" w:w="1080"/>
          </w:tcPr>
          <w:p>
            <w:r>
              <w:rPr>
                <w:rFonts w:ascii="Calibri" w:hAnsi="Calibri"/>
                <w:sz w:val="22"/>
              </w:rPr>
              <w:t>$2,093M</w:t>
            </w:r>
          </w:p>
        </w:tc>
        <w:tc>
          <w:tcPr>
            <w:tcW w:type="dxa" w:w="1080"/>
          </w:tcPr>
          <w:p>
            <w:r>
              <w:rPr>
                <w:rFonts w:ascii="Calibri" w:hAnsi="Calibri"/>
                <w:sz w:val="22"/>
              </w:rPr>
              <w:t>-0.4%</w:t>
            </w:r>
          </w:p>
        </w:tc>
        <w:tc>
          <w:tcPr>
            <w:tcW w:type="dxa" w:w="1080"/>
          </w:tcPr>
          <w:p>
            <w:r>
              <w:rPr>
                <w:rFonts w:ascii="Calibri" w:hAnsi="Calibri"/>
                <w:sz w:val="22"/>
              </w:rPr>
              <w:t>Low end of guided range</w:t>
            </w:r>
          </w:p>
        </w:tc>
        <w:tc>
          <w:tcPr>
            <w:tcW w:type="dxa" w:w="1080"/>
          </w:tcPr>
          <w:p>
            <w:r>
              <w:rPr>
                <w:rFonts w:ascii="Calibri" w:hAnsi="Calibri"/>
                <w:sz w:val="22"/>
              </w:rPr>
              <w:t>Reaffirmed (Jun 9)</w:t>
            </w:r>
          </w:p>
        </w:tc>
        <w:tc>
          <w:tcPr>
            <w:tcW w:type="dxa" w:w="1080"/>
          </w:tcPr>
          <w:p>
            <w:r>
              <w:rPr>
                <w:rFonts w:ascii="Calibri" w:hAnsi="Calibri"/>
                <w:sz w:val="22"/>
              </w:rPr>
              <w:t>—</w:t>
            </w:r>
          </w:p>
        </w:tc>
        <w:tc>
          <w:tcPr>
            <w:tcW w:type="dxa" w:w="1080"/>
          </w:tcPr>
          <w:p>
            <w:r>
              <w:rPr>
                <w:rFonts w:ascii="Calibri" w:hAnsi="Calibri"/>
                <w:sz w:val="22"/>
              </w:rPr>
              <w:t>~In line / slight cushion</w:t>
            </w:r>
          </w:p>
        </w:tc>
      </w:tr>
      <w:tr>
        <w:tc>
          <w:tcPr>
            <w:tcW w:type="dxa" w:w="1080"/>
          </w:tcPr>
          <w:p>
            <w:r>
              <w:rPr>
                <w:rFonts w:ascii="Calibri" w:hAnsi="Calibri"/>
                <w:sz w:val="22"/>
              </w:rPr>
              <w:t>NII — FY 2026</w:t>
            </w:r>
          </w:p>
        </w:tc>
        <w:tc>
          <w:tcPr>
            <w:tcW w:type="dxa" w:w="1080"/>
          </w:tcPr>
          <w:p>
            <w:r>
              <w:rPr>
                <w:rFonts w:ascii="Calibri" w:hAnsi="Calibri"/>
                <w:sz w:val="22"/>
              </w:rPr>
              <w:t>$8,363M</w:t>
            </w:r>
          </w:p>
        </w:tc>
        <w:tc>
          <w:tcPr>
            <w:tcW w:type="dxa" w:w="1080"/>
          </w:tcPr>
          <w:p>
            <w:r>
              <w:rPr>
                <w:rFonts w:ascii="Calibri" w:hAnsi="Calibri"/>
                <w:sz w:val="22"/>
              </w:rPr>
              <w:t>$8,330M</w:t>
            </w:r>
          </w:p>
        </w:tc>
        <w:tc>
          <w:tcPr>
            <w:tcW w:type="dxa" w:w="1080"/>
          </w:tcPr>
          <w:p>
            <w:r>
              <w:rPr>
                <w:rFonts w:ascii="Calibri" w:hAnsi="Calibri"/>
                <w:sz w:val="22"/>
              </w:rPr>
              <w:t>-0.4%</w:t>
            </w:r>
          </w:p>
        </w:tc>
        <w:tc>
          <w:tcPr>
            <w:tcW w:type="dxa" w:w="1080"/>
          </w:tcPr>
          <w:p>
            <w:r>
              <w:rPr>
                <w:rFonts w:ascii="Calibri" w:hAnsi="Calibri"/>
                <w:sz w:val="22"/>
              </w:rPr>
              <w:t>Low end of guided range; double-digit growth</w:t>
            </w:r>
          </w:p>
        </w:tc>
        <w:tc>
          <w:tcPr>
            <w:tcW w:type="dxa" w:w="1080"/>
          </w:tcPr>
          <w:p>
            <w:r>
              <w:rPr>
                <w:rFonts w:ascii="Calibri" w:hAnsi="Calibri"/>
                <w:sz w:val="22"/>
              </w:rPr>
              <w:t>Reaffirmed (Jun 9)</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Total Revenue — Q2 2026</w:t>
            </w:r>
          </w:p>
        </w:tc>
        <w:tc>
          <w:tcPr>
            <w:tcW w:type="dxa" w:w="1080"/>
          </w:tcPr>
          <w:p>
            <w:r>
              <w:rPr>
                <w:rFonts w:ascii="Calibri" w:hAnsi="Calibri"/>
                <w:sz w:val="22"/>
              </w:rPr>
              <w:t>$2,833M</w:t>
            </w:r>
          </w:p>
        </w:tc>
        <w:tc>
          <w:tcPr>
            <w:tcW w:type="dxa" w:w="1080"/>
          </w:tcPr>
          <w:p>
            <w:r>
              <w:rPr>
                <w:rFonts w:ascii="Calibri" w:hAnsi="Calibri"/>
                <w:sz w:val="22"/>
              </w:rPr>
              <w:t>$2,825M</w:t>
            </w:r>
          </w:p>
        </w:tc>
        <w:tc>
          <w:tcPr>
            <w:tcW w:type="dxa" w:w="1080"/>
          </w:tcPr>
          <w:p>
            <w:r>
              <w:rPr>
                <w:rFonts w:ascii="Calibri" w:hAnsi="Calibri"/>
                <w:sz w:val="22"/>
              </w:rPr>
              <w:t>-0.3%</w:t>
            </w:r>
          </w:p>
        </w:tc>
        <w:tc>
          <w:tcPr>
            <w:tcW w:type="dxa" w:w="1080"/>
          </w:tcPr>
          <w:p>
            <w:r>
              <w:rPr>
                <w:rFonts w:ascii="Calibri" w:hAnsi="Calibri"/>
                <w:sz w:val="22"/>
              </w:rPr>
              <w:t>FY ~$11.3B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Total Revenue — FY 2026</w:t>
            </w:r>
          </w:p>
        </w:tc>
        <w:tc>
          <w:tcPr>
            <w:tcW w:type="dxa" w:w="1080"/>
          </w:tcPr>
          <w:p>
            <w:r>
              <w:rPr>
                <w:rFonts w:ascii="Calibri" w:hAnsi="Calibri"/>
                <w:sz w:val="22"/>
              </w:rPr>
              <w:t>$11,306M</w:t>
            </w:r>
          </w:p>
        </w:tc>
        <w:tc>
          <w:tcPr>
            <w:tcW w:type="dxa" w:w="1080"/>
          </w:tcPr>
          <w:p>
            <w:r>
              <w:rPr>
                <w:rFonts w:ascii="Calibri" w:hAnsi="Calibri"/>
                <w:sz w:val="22"/>
              </w:rPr>
              <w:t>$11,278M</w:t>
            </w:r>
          </w:p>
        </w:tc>
        <w:tc>
          <w:tcPr>
            <w:tcW w:type="dxa" w:w="1080"/>
          </w:tcPr>
          <w:p>
            <w:r>
              <w:rPr>
                <w:rFonts w:ascii="Calibri" w:hAnsi="Calibri"/>
                <w:sz w:val="22"/>
              </w:rPr>
              <w:t>-0.2%</w:t>
            </w:r>
          </w:p>
        </w:tc>
        <w:tc>
          <w:tcPr>
            <w:tcW w:type="dxa" w:w="1080"/>
          </w:tcPr>
          <w:p>
            <w:r>
              <w:rPr>
                <w:rFonts w:ascii="Calibri" w:hAnsi="Calibri"/>
                <w:sz w:val="22"/>
              </w:rPr>
              <w:t>FY ~$11.3B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color w:val="525866"/>
          <w:sz w:val="22"/>
        </w:rPr>
        <w:t>Estimates have been remarkably stable since the Q1 print, with NII and EPS drifting only ~0.3–0.4% lower — a sign the Street has largely accepted management's guidance recalibration and is not pricing in further downside. The gap between consensus and guidance is minimal, suggesting the bar is set at guidance, not above it.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HBAN has rallied ~8.6% since the April 23 earnings date, broadly in line with KRE (+9.2%) and ahead of the S&amp;P 500 (+5.2%), with the move driven almost entirely by multiple expansion (P/E up ~5.5% over 1 month) rather than estimate upgrades — suggesting the stock is pricing in execution confidence, not a beat, which leaves room for upside on a clean print.</w:t>
      </w:r>
    </w:p>
    <w:p>
      <w:r>
        <w:rPr>
          <w:rFonts w:ascii="Calibri" w:hAnsi="Calibri"/>
          <w:b/>
          <w:color w:val="525866"/>
          <w:sz w:val="22"/>
        </w:rPr>
        <w:t>HBAN vs. KRE (SPDR S&amp;P Regional Banking ETF) vs. S&amp;P 500 — Indexed to 100 at April 23,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HBAN (Indexed)</w:t>
            </w:r>
          </w:p>
        </w:tc>
        <w:tc>
          <w:tcPr>
            <w:tcW w:type="dxa" w:w="2160"/>
            <w:shd w:val="clear" w:color="auto" w:fill="3B4259"/>
          </w:tcPr>
          <w:p>
            <w:r>
              <w:rPr>
                <w:rFonts w:ascii="Calibri" w:hAnsi="Calibri"/>
                <w:b/>
                <w:color w:val="FFFFFF"/>
                <w:sz w:val="22"/>
              </w:rPr>
              <w:t>KRE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23,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 2026</w:t>
            </w:r>
          </w:p>
        </w:tc>
        <w:tc>
          <w:tcPr>
            <w:tcW w:type="dxa" w:w="2160"/>
          </w:tcPr>
          <w:p>
            <w:r>
              <w:rPr>
                <w:rFonts w:ascii="Calibri" w:hAnsi="Calibri"/>
                <w:sz w:val="22"/>
              </w:rPr>
              <w:t>99.6</w:t>
            </w:r>
          </w:p>
        </w:tc>
        <w:tc>
          <w:tcPr>
            <w:tcW w:type="dxa" w:w="2160"/>
          </w:tcPr>
          <w:p>
            <w:r>
              <w:rPr>
                <w:rFonts w:ascii="Calibri" w:hAnsi="Calibri"/>
                <w:sz w:val="22"/>
              </w:rPr>
              <w:t>100.9</w:t>
            </w:r>
          </w:p>
        </w:tc>
        <w:tc>
          <w:tcPr>
            <w:tcW w:type="dxa" w:w="2160"/>
          </w:tcPr>
          <w:p>
            <w:r>
              <w:rPr>
                <w:rFonts w:ascii="Calibri" w:hAnsi="Calibri"/>
                <w:sz w:val="22"/>
              </w:rPr>
              <w:t>101.0</w:t>
            </w:r>
          </w:p>
        </w:tc>
      </w:tr>
      <w:tr>
        <w:tc>
          <w:tcPr>
            <w:tcW w:type="dxa" w:w="2160"/>
          </w:tcPr>
          <w:p>
            <w:r>
              <w:rPr>
                <w:rFonts w:ascii="Calibri" w:hAnsi="Calibri"/>
                <w:sz w:val="22"/>
              </w:rPr>
              <w:t>May 13, 2026 (Trough)</w:t>
            </w:r>
          </w:p>
        </w:tc>
        <w:tc>
          <w:tcPr>
            <w:tcW w:type="dxa" w:w="2160"/>
          </w:tcPr>
          <w:p>
            <w:r>
              <w:rPr>
                <w:rFonts w:ascii="Calibri" w:hAnsi="Calibri"/>
                <w:sz w:val="22"/>
              </w:rPr>
              <w:t>91.3</w:t>
            </w:r>
          </w:p>
        </w:tc>
        <w:tc>
          <w:tcPr>
            <w:tcW w:type="dxa" w:w="2160"/>
          </w:tcPr>
          <w:p>
            <w:r>
              <w:rPr>
                <w:rFonts w:ascii="Calibri" w:hAnsi="Calibri"/>
                <w:sz w:val="22"/>
              </w:rPr>
              <w:t>96.9</w:t>
            </w:r>
          </w:p>
        </w:tc>
        <w:tc>
          <w:tcPr>
            <w:tcW w:type="dxa" w:w="2160"/>
          </w:tcPr>
          <w:p>
            <w:r>
              <w:rPr>
                <w:rFonts w:ascii="Calibri" w:hAnsi="Calibri"/>
                <w:sz w:val="22"/>
              </w:rPr>
              <w:t>104.4</w:t>
            </w:r>
          </w:p>
        </w:tc>
      </w:tr>
      <w:tr>
        <w:tc>
          <w:tcPr>
            <w:tcW w:type="dxa" w:w="2160"/>
          </w:tcPr>
          <w:p>
            <w:r>
              <w:rPr>
                <w:rFonts w:ascii="Calibri" w:hAnsi="Calibri"/>
                <w:sz w:val="22"/>
              </w:rPr>
              <w:t>May 28, 2026 (Bernstein Conf.)</w:t>
            </w:r>
          </w:p>
        </w:tc>
        <w:tc>
          <w:tcPr>
            <w:tcW w:type="dxa" w:w="2160"/>
          </w:tcPr>
          <w:p>
            <w:r>
              <w:rPr>
                <w:rFonts w:ascii="Calibri" w:hAnsi="Calibri"/>
                <w:sz w:val="22"/>
              </w:rPr>
              <w:t>95.8</w:t>
            </w:r>
          </w:p>
        </w:tc>
        <w:tc>
          <w:tcPr>
            <w:tcW w:type="dxa" w:w="2160"/>
          </w:tcPr>
          <w:p>
            <w:r>
              <w:rPr>
                <w:rFonts w:ascii="Calibri" w:hAnsi="Calibri"/>
                <w:sz w:val="22"/>
              </w:rPr>
              <w:t>100.4</w:t>
            </w:r>
          </w:p>
        </w:tc>
        <w:tc>
          <w:tcPr>
            <w:tcW w:type="dxa" w:w="2160"/>
          </w:tcPr>
          <w:p>
            <w:r>
              <w:rPr>
                <w:rFonts w:ascii="Calibri" w:hAnsi="Calibri"/>
                <w:sz w:val="22"/>
              </w:rPr>
              <w:t>106.2</w:t>
            </w:r>
          </w:p>
        </w:tc>
      </w:tr>
      <w:tr>
        <w:tc>
          <w:tcPr>
            <w:tcW w:type="dxa" w:w="2160"/>
          </w:tcPr>
          <w:p>
            <w:r>
              <w:rPr>
                <w:rFonts w:ascii="Calibri" w:hAnsi="Calibri"/>
                <w:sz w:val="22"/>
              </w:rPr>
              <w:t>Jun 9, 2026 (MS Conf.)</w:t>
            </w:r>
          </w:p>
        </w:tc>
        <w:tc>
          <w:tcPr>
            <w:tcW w:type="dxa" w:w="2160"/>
          </w:tcPr>
          <w:p>
            <w:r>
              <w:rPr>
                <w:rFonts w:ascii="Calibri" w:hAnsi="Calibri"/>
                <w:sz w:val="22"/>
              </w:rPr>
              <w:t>100.0</w:t>
            </w:r>
          </w:p>
        </w:tc>
        <w:tc>
          <w:tcPr>
            <w:tcW w:type="dxa" w:w="2160"/>
          </w:tcPr>
          <w:p>
            <w:r>
              <w:rPr>
                <w:rFonts w:ascii="Calibri" w:hAnsi="Calibri"/>
                <w:sz w:val="22"/>
              </w:rPr>
              <w:t>102.9</w:t>
            </w:r>
          </w:p>
        </w:tc>
        <w:tc>
          <w:tcPr>
            <w:tcW w:type="dxa" w:w="2160"/>
          </w:tcPr>
          <w:p>
            <w:r>
              <w:rPr>
                <w:rFonts w:ascii="Calibri" w:hAnsi="Calibri"/>
                <w:sz w:val="22"/>
              </w:rPr>
              <w:t>103.8</w:t>
            </w:r>
          </w:p>
        </w:tc>
      </w:tr>
      <w:tr>
        <w:tc>
          <w:tcPr>
            <w:tcW w:type="dxa" w:w="2160"/>
          </w:tcPr>
          <w:p>
            <w:r>
              <w:rPr>
                <w:rFonts w:ascii="Calibri" w:hAnsi="Calibri"/>
                <w:sz w:val="22"/>
              </w:rPr>
              <w:t>Jun 25, 2026 (Div. Declaration)</w:t>
            </w:r>
          </w:p>
        </w:tc>
        <w:tc>
          <w:tcPr>
            <w:tcW w:type="dxa" w:w="2160"/>
          </w:tcPr>
          <w:p>
            <w:r>
              <w:rPr>
                <w:rFonts w:ascii="Calibri" w:hAnsi="Calibri"/>
                <w:sz w:val="22"/>
              </w:rPr>
              <w:t>106.4</w:t>
            </w:r>
          </w:p>
        </w:tc>
        <w:tc>
          <w:tcPr>
            <w:tcW w:type="dxa" w:w="2160"/>
          </w:tcPr>
          <w:p>
            <w:r>
              <w:rPr>
                <w:rFonts w:ascii="Calibri" w:hAnsi="Calibri"/>
                <w:sz w:val="22"/>
              </w:rPr>
              <w:t>108.0</w:t>
            </w:r>
          </w:p>
        </w:tc>
        <w:tc>
          <w:tcPr>
            <w:tcW w:type="dxa" w:w="2160"/>
          </w:tcPr>
          <w:p>
            <w:r>
              <w:rPr>
                <w:rFonts w:ascii="Calibri" w:hAnsi="Calibri"/>
                <w:sz w:val="22"/>
              </w:rPr>
              <w:t>103.4</w:t>
            </w:r>
          </w:p>
        </w:tc>
      </w:tr>
      <w:tr>
        <w:tc>
          <w:tcPr>
            <w:tcW w:type="dxa" w:w="2160"/>
          </w:tcPr>
          <w:p>
            <w:r>
              <w:rPr>
                <w:rFonts w:ascii="Calibri" w:hAnsi="Calibri"/>
                <w:sz w:val="22"/>
              </w:rPr>
              <w:t>Jul 16, 2026 (Peer Earnings)</w:t>
            </w:r>
          </w:p>
        </w:tc>
        <w:tc>
          <w:tcPr>
            <w:tcW w:type="dxa" w:w="2160"/>
          </w:tcPr>
          <w:p>
            <w:r>
              <w:rPr>
                <w:rFonts w:ascii="Calibri" w:hAnsi="Calibri"/>
                <w:sz w:val="22"/>
              </w:rPr>
              <w:t>110.3</w:t>
            </w:r>
          </w:p>
        </w:tc>
        <w:tc>
          <w:tcPr>
            <w:tcW w:type="dxa" w:w="2160"/>
          </w:tcPr>
          <w:p>
            <w:r>
              <w:rPr>
                <w:rFonts w:ascii="Calibri" w:hAnsi="Calibri"/>
                <w:sz w:val="22"/>
              </w:rPr>
              <w:t>112.5</w:t>
            </w:r>
          </w:p>
        </w:tc>
        <w:tc>
          <w:tcPr>
            <w:tcW w:type="dxa" w:w="2160"/>
          </w:tcPr>
          <w:p>
            <w:r>
              <w:rPr>
                <w:rFonts w:ascii="Calibri" w:hAnsi="Calibri"/>
                <w:sz w:val="22"/>
              </w:rPr>
              <w:t>105.7</w:t>
            </w:r>
          </w:p>
        </w:tc>
      </w:tr>
      <w:tr>
        <w:tc>
          <w:tcPr>
            <w:tcW w:type="dxa" w:w="2160"/>
          </w:tcPr>
          <w:p>
            <w:r>
              <w:rPr>
                <w:rFonts w:ascii="Calibri" w:hAnsi="Calibri"/>
                <w:sz w:val="22"/>
              </w:rPr>
              <w:t>Jul 22, 2026 (Day Before Print)</w:t>
            </w:r>
          </w:p>
        </w:tc>
        <w:tc>
          <w:tcPr>
            <w:tcW w:type="dxa" w:w="2160"/>
          </w:tcPr>
          <w:p>
            <w:r>
              <w:rPr>
                <w:rFonts w:ascii="Calibri" w:hAnsi="Calibri"/>
                <w:sz w:val="22"/>
              </w:rPr>
              <w:t>108.0</w:t>
            </w:r>
          </w:p>
        </w:tc>
        <w:tc>
          <w:tcPr>
            <w:tcW w:type="dxa" w:w="2160"/>
          </w:tcPr>
          <w:p>
            <w:r>
              <w:rPr>
                <w:rFonts w:ascii="Calibri" w:hAnsi="Calibri"/>
                <w:sz w:val="22"/>
              </w:rPr>
              <w:t>109.7</w:t>
            </w:r>
          </w:p>
        </w:tc>
        <w:tc>
          <w:tcPr>
            <w:tcW w:type="dxa" w:w="2160"/>
          </w:tcPr>
          <w:p>
            <w:r>
              <w:rPr>
                <w:rFonts w:ascii="Calibri" w:hAnsi="Calibri"/>
                <w:sz w:val="22"/>
              </w:rPr>
              <w:t>105.2</w:t>
            </w:r>
          </w:p>
        </w:tc>
      </w:tr>
    </w:tbl>
    <w:p>
      <w:r>
        <w:rPr>
          <w:rFonts w:ascii="Calibri" w:hAnsi="Calibri"/>
          <w:b/>
          <w:color w:val="525866"/>
          <w:sz w:val="22"/>
        </w:rPr>
        <w:t xml:space="preserve">Sector ETF: </w:t>
      </w:r>
      <w:r>
        <w:rPr>
          <w:rFonts w:ascii="Calibri" w:hAnsi="Calibri"/>
          <w:color w:val="525866"/>
          <w:sz w:val="22"/>
        </w:rPr>
        <w:t>KRE (SPDR S&amp;P Regional Banking ETF) — appropriate for HBAN's regional bank sub-sector. Key events marked: May 28 Bernstein Conference (bullish CEO tone, 2027 targets reaffirmed); June 9 Morgan Stanley Conference (CFO stated macro "more favorable" than April); June 25 preferred dividend declaration; July 16–17 peer earnings (USB, CFG, RF, FITB all reported strong Q2 results, lifting the sector). HBAN underperformed KRE modestly through mid-May as the market digested the NII guidance cut, then re-rated sharply higher alongside peers as Q2 peer prints confirmed a strong regional bank environment. Source: Yahoo Finance / Stock Price Data.</w:t>
      </w:r>
    </w:p>
    <w:p>
      <w:r>
        <w:rPr>
          <w:rFonts w:ascii="Calibri" w:hAnsi="Calibri"/>
          <w:b/>
          <w:color w:val="525866"/>
          <w:sz w:val="22"/>
        </w:rPr>
        <w:t xml:space="preserve">Valuation Context: </w:t>
      </w:r>
      <w:r>
        <w:rPr>
          <w:rFonts w:ascii="Calibri" w:hAnsi="Calibri"/>
          <w:color w:val="525866"/>
          <w:sz w:val="22"/>
        </w:rPr>
        <w:t>HBAN trades at 10.7x NTM P/E, a ~12% discount to the regional bank peer group median (~12.1x). The 1-month P/E multiple expanded +5.5%, while the 3-month expansion was only +0.3%, suggesting the recent rally is sentiment-driven rather than a sustained re-rating. The discount to peers has narrowed from ~11% (3-year average) to ~12% currently, implying the market is not yet fully pricing in the 2027 earnings power story. Source: Visible Alpha / peer valuation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successful completion of the Cadence systems conversion in late June — the final major integration milestone — which unlocks the full $365M cost synergy run-rate in Q4 2026 and removes the single largest execution risk heading into the print. Management's tone shift to constructive at the June 9 conference is the second most important signal.</w:t>
      </w:r>
    </w:p>
    <w:p>
      <w:pPr>
        <w:pStyle w:val="ListBullet"/>
        <w:ind w:left="360" w:hanging="360"/>
      </w:pPr>
      <w:r>
        <w:rPr>
          <w:rFonts w:ascii="Calibri" w:hAnsi="Calibri"/>
          <w:b/>
          <w:color w:val="525866"/>
          <w:sz w:val="22"/>
        </w:rPr>
        <w:t>June 2026 — Cadence Systems Conversion Completed (late June):</w:t>
      </w:r>
      <w:r>
        <w:rPr>
          <w:rFonts w:ascii="Calibri" w:hAnsi="Calibri"/>
          <w:color w:val="525866"/>
          <w:sz w:val="22"/>
        </w:rPr>
        <w:t xml:space="preserve"> The Cadence Bank systems conversion — management's self-described 'Super Bowl' — was completed on schedule in late June 2026, marking the final major integration milestone. ~6,000 colleagues were conversion-focused. This unlocks the full $365M Cadence cost synergy run-rate in Q4 2026, contributing to the $435M cumulative synergy target. </w:t>
      </w:r>
      <w:r>
        <w:rPr>
          <w:rFonts w:ascii="Calibri" w:hAnsi="Calibri"/>
          <w:i/>
          <w:color w:val="525866"/>
          <w:sz w:val="22"/>
        </w:rPr>
        <w:t xml:space="preserve">Implication: </w:t>
      </w:r>
      <w:r>
        <w:rPr>
          <w:rFonts w:ascii="Calibri" w:hAnsi="Calibri"/>
          <w:i/>
          <w:color w:val="525866"/>
          <w:sz w:val="22"/>
        </w:rPr>
        <w:t>Removes the largest near-term execution risk; Q3 and Q4 expense trajectory should now step down materially.</w:t>
      </w:r>
    </w:p>
    <w:p>
      <w:pPr>
        <w:pStyle w:val="ListBullet"/>
        <w:ind w:left="360" w:hanging="360"/>
      </w:pPr>
      <w:r>
        <w:rPr>
          <w:rFonts w:ascii="Calibri" w:hAnsi="Calibri"/>
          <w:b/>
          <w:color w:val="525866"/>
          <w:sz w:val="22"/>
        </w:rPr>
        <w:t>June 9, 2026 — Morgan Stanley U.S. Financials Conference:</w:t>
      </w:r>
      <w:r>
        <w:rPr>
          <w:rFonts w:ascii="Calibri" w:hAnsi="Calibri"/>
          <w:color w:val="525866"/>
          <w:sz w:val="22"/>
        </w:rPr>
        <w:t xml:space="preserve"> CFO Zach Wasserman stated the macro environment is </w:t>
      </w:r>
      <w:r>
        <w:rPr>
          <w:rFonts w:ascii="Calibri" w:hAnsi="Calibri"/>
          <w:b/>
          <w:color w:val="525866"/>
          <w:sz w:val="22"/>
        </w:rPr>
        <w:t>"more favorable than when we were sitting in April,"</w:t>
      </w:r>
      <w:r>
        <w:rPr>
          <w:rFonts w:ascii="Calibri" w:hAnsi="Calibri"/>
          <w:color w:val="525866"/>
          <w:sz w:val="22"/>
        </w:rPr>
        <w:t xml:space="preserve"> with strong pipelines, rational deposit pricing, and no credit deterioration. Reaffirmed NIM exit in high-3.20s and 2027 EPS target of $1.90–$1.93. Noted elevated liquidity ($4B Fed cash) likely to be reduced given macro stabilization, providing NIM uplift. </w:t>
      </w:r>
      <w:r>
        <w:rPr>
          <w:rFonts w:ascii="Calibri" w:hAnsi="Calibri"/>
          <w:i/>
          <w:color w:val="525866"/>
          <w:sz w:val="22"/>
        </w:rPr>
        <w:t xml:space="preserve">Implication: </w:t>
      </w:r>
      <w:r>
        <w:rPr>
          <w:rFonts w:ascii="Calibri" w:hAnsi="Calibri"/>
          <w:i/>
          <w:color w:val="525866"/>
          <w:sz w:val="22"/>
        </w:rPr>
        <w:t>Positive tone shift from April; sets up for a constructive Q2 print.</w:t>
      </w:r>
    </w:p>
    <w:p>
      <w:pPr>
        <w:pStyle w:val="ListBullet"/>
        <w:ind w:left="360" w:hanging="360"/>
      </w:pPr>
      <w:r>
        <w:rPr>
          <w:rFonts w:ascii="Calibri" w:hAnsi="Calibri"/>
          <w:b/>
          <w:color w:val="525866"/>
          <w:sz w:val="22"/>
        </w:rPr>
        <w:t>May 28, 2026 — Bernstein Strategic Decisions Conference:</w:t>
      </w:r>
      <w:r>
        <w:rPr>
          <w:rFonts w:ascii="Calibri" w:hAnsi="Calibri"/>
          <w:color w:val="525866"/>
          <w:sz w:val="22"/>
        </w:rPr>
        <w:t xml:space="preserve"> CEO Steinour reaffirmed 2027 targets (30% EPS growth vs. 2025, 18–19% ROTCE), called the first-year revenue synergy target ($50–75M) "in the bag," and highlighted digital consumer acquisition in the South running at 10x Cadence's historical pace. Described the stock as a </w:t>
      </w:r>
      <w:r>
        <w:rPr>
          <w:rFonts w:ascii="Calibri" w:hAnsi="Calibri"/>
          <w:b/>
          <w:color w:val="525866"/>
          <w:sz w:val="22"/>
        </w:rPr>
        <w:t>"screaming buy moment."</w:t>
      </w:r>
      <w:r>
        <w:rPr>
          <w:rFonts w:ascii="Calibri" w:hAnsi="Calibri"/>
          <w:color w:val="525866"/>
          <w:sz w:val="22"/>
        </w:rPr>
        <w:t xml:space="preserve"> </w:t>
      </w:r>
      <w:r>
        <w:rPr>
          <w:rFonts w:ascii="Calibri" w:hAnsi="Calibri"/>
          <w:i/>
          <w:color w:val="525866"/>
          <w:sz w:val="22"/>
        </w:rPr>
        <w:t xml:space="preserve">Implication: </w:t>
      </w:r>
      <w:r>
        <w:rPr>
          <w:rFonts w:ascii="Calibri" w:hAnsi="Calibri"/>
          <w:i/>
          <w:color w:val="525866"/>
          <w:sz w:val="22"/>
        </w:rPr>
        <w:t>Management confidence in revenue synergy execution is high; digital acquisition momentum is a positive leading indicator for deposit and fee growth.</w:t>
      </w:r>
    </w:p>
    <w:p>
      <w:pPr>
        <w:pStyle w:val="ListBullet"/>
        <w:ind w:left="360" w:hanging="360"/>
      </w:pPr>
      <w:r>
        <w:rPr>
          <w:rFonts w:ascii="Calibri" w:hAnsi="Calibri"/>
          <w:b/>
          <w:color w:val="525866"/>
          <w:sz w:val="22"/>
        </w:rPr>
        <w:t>June 25, 2026 — Preferred Stock Dividend Declaration (8-K):</w:t>
      </w:r>
      <w:r>
        <w:rPr>
          <w:rFonts w:ascii="Calibri" w:hAnsi="Calibri"/>
          <w:color w:val="525866"/>
          <w:sz w:val="22"/>
        </w:rPr>
        <w:t xml:space="preserve"> Huntington declared its regular preferred stock dividend, a routine capital action with no strategic implication. </w:t>
      </w:r>
      <w:r>
        <w:rPr>
          <w:rFonts w:ascii="Calibri" w:hAnsi="Calibri"/>
          <w:i/>
          <w:color w:val="525866"/>
          <w:sz w:val="22"/>
        </w:rPr>
        <w:t xml:space="preserve">Implication: </w:t>
      </w:r>
      <w:r>
        <w:rPr>
          <w:rFonts w:ascii="Calibri" w:hAnsi="Calibri"/>
          <w:i/>
          <w:color w:val="525866"/>
          <w:sz w:val="22"/>
        </w:rPr>
        <w:t>No change to capital return posture; $550M common share repurchase plan for 2026 remains on track.</w:t>
      </w:r>
    </w:p>
    <w:p>
      <w:pPr>
        <w:pStyle w:val="ListBullet"/>
        <w:ind w:left="360" w:hanging="360"/>
      </w:pPr>
      <w:r>
        <w:rPr>
          <w:rFonts w:ascii="Calibri" w:hAnsi="Calibri"/>
          <w:b/>
          <w:color w:val="525866"/>
          <w:sz w:val="22"/>
        </w:rPr>
        <w:t>April 23, 2026 — Q1 2026 Earnings: New $3B Share Repurchase Authorization:</w:t>
      </w:r>
      <w:r>
        <w:rPr>
          <w:rFonts w:ascii="Calibri" w:hAnsi="Calibri"/>
          <w:color w:val="525866"/>
          <w:sz w:val="22"/>
        </w:rPr>
        <w:t xml:space="preserve"> Board approved a new $3B buyback authorization (replacing prior program), with management explicitly linking Basel III endgame (~80 bps CET1 benefit from ~7.7% RWA reduction) to incremental distributions in 2027. Year-to-date repurchases exceeded $250M as of the Q1 call. </w:t>
      </w:r>
      <w:r>
        <w:rPr>
          <w:rFonts w:ascii="Calibri" w:hAnsi="Calibri"/>
          <w:i/>
          <w:color w:val="525866"/>
          <w:sz w:val="22"/>
        </w:rPr>
        <w:t xml:space="preserve">Implication: </w:t>
      </w:r>
      <w:r>
        <w:rPr>
          <w:rFonts w:ascii="Calibri" w:hAnsi="Calibri"/>
          <w:i/>
          <w:color w:val="525866"/>
          <w:sz w:val="22"/>
        </w:rPr>
        <w:t>Capital return story is a multi-year catalyst; Basel III clarity in 2027 could be a meaningful re-rating event.</w:t>
      </w:r>
    </w:p>
    <w:p>
      <w:pPr>
        <w:pStyle w:val="ListBullet"/>
        <w:ind w:left="360" w:hanging="360"/>
      </w:pPr>
      <w:r>
        <w:rPr>
          <w:rFonts w:ascii="Calibri" w:hAnsi="Calibri"/>
          <w:b/>
          <w:color w:val="525866"/>
          <w:sz w:val="22"/>
        </w:rPr>
        <w:t>April 23, 2026 — Q1 2026 Earnings: NII Guidance Revised to Low End of Range:</w:t>
      </w:r>
      <w:r>
        <w:rPr>
          <w:rFonts w:ascii="Calibri" w:hAnsi="Calibri"/>
          <w:color w:val="525866"/>
          <w:sz w:val="22"/>
        </w:rPr>
        <w:t xml:space="preserve"> Management revised NII to the low end of the guided range and NIM to high-3.20s (from mid-3.30s), citing lower loan growth expectations and modestly less deposit cost improvement. 5 bps of the NIM revision was mechanical (higher Fed cash balances with de minimis revenue impact). </w:t>
      </w:r>
      <w:r>
        <w:rPr>
          <w:rFonts w:ascii="Calibri" w:hAnsi="Calibri"/>
          <w:i/>
          <w:color w:val="525866"/>
          <w:sz w:val="22"/>
        </w:rPr>
        <w:t xml:space="preserve">Implication: </w:t>
      </w:r>
      <w:r>
        <w:rPr>
          <w:rFonts w:ascii="Calibri" w:hAnsi="Calibri"/>
          <w:i/>
          <w:color w:val="525866"/>
          <w:sz w:val="22"/>
        </w:rPr>
        <w:t>The NIM revision was partially mechanical and partially macro-driven; the June tone shift suggests the macro headwind has eased.</w:t>
      </w:r>
    </w:p>
    <w:p>
      <w:pPr>
        <w:pStyle w:val="ListBullet"/>
        <w:ind w:left="360" w:hanging="360"/>
      </w:pPr>
      <w:r>
        <w:rPr>
          <w:rFonts w:ascii="Calibri" w:hAnsi="Calibri"/>
          <w:b/>
          <w:color w:val="525866"/>
          <w:sz w:val="22"/>
        </w:rPr>
        <w:t>Ongoing — Carolinas De Novo Build-Out:</w:t>
      </w:r>
      <w:r>
        <w:rPr>
          <w:rFonts w:ascii="Calibri" w:hAnsi="Calibri"/>
          <w:color w:val="525866"/>
          <w:sz w:val="22"/>
        </w:rPr>
        <w:t xml:space="preserve"> Branches opening approximately every other week in North and South Carolina, running well ahead of pro formas toward a planned 55-branch footprint. </w:t>
      </w:r>
      <w:r>
        <w:rPr>
          <w:rFonts w:ascii="Calibri" w:hAnsi="Calibri"/>
          <w:i/>
          <w:color w:val="525866"/>
          <w:sz w:val="22"/>
        </w:rPr>
        <w:t xml:space="preserve">Implication: </w:t>
      </w:r>
      <w:r>
        <w:rPr>
          <w:rFonts w:ascii="Calibri" w:hAnsi="Calibri"/>
          <w:i/>
          <w:color w:val="525866"/>
          <w:sz w:val="22"/>
        </w:rPr>
        <w:t>Organic growth engine with no denominator effect; positive for deposit and loan growth in the back half.</w:t>
      </w:r>
    </w:p>
    <w:p>
      <w:pPr>
        <w:pStyle w:val="ListBullet"/>
        <w:ind w:left="360" w:hanging="360"/>
      </w:pPr>
      <w:r>
        <w:rPr>
          <w:rFonts w:ascii="Calibri" w:hAnsi="Calibri"/>
          <w:b/>
          <w:color w:val="525866"/>
          <w:sz w:val="22"/>
        </w:rPr>
        <w:t>Ongoing — Texas Market Entry (Post-Cadence):</w:t>
      </w:r>
      <w:r>
        <w:rPr>
          <w:rFonts w:ascii="Calibri" w:hAnsi="Calibri"/>
          <w:color w:val="525866"/>
          <w:sz w:val="22"/>
        </w:rPr>
        <w:t xml:space="preserve"> HBAN enters Texas with $26B+ in deposits, top-5 share in Dallas and Houston. Digital capabilities launched in the South in April are running at 10x Cadence's historical consumer acquisition pace. </w:t>
      </w:r>
      <w:r>
        <w:rPr>
          <w:rFonts w:ascii="Calibri" w:hAnsi="Calibri"/>
          <w:i/>
          <w:color w:val="525866"/>
          <w:sz w:val="22"/>
        </w:rPr>
        <w:t xml:space="preserve">Implication: </w:t>
      </w:r>
      <w:r>
        <w:rPr>
          <w:rFonts w:ascii="Calibri" w:hAnsi="Calibri"/>
          <w:i/>
          <w:color w:val="525866"/>
          <w:sz w:val="22"/>
        </w:rPr>
        <w:t>Revenue synergy realization is tracking ahead of plan; Texas is a significant long-term growth opportunity.</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The most notable signal is Director James Rollins III's pattern of open-market preferred stock purchases alongside a large discretionary common stock sale — the preferred buys suggest conviction in HBAN's credit quality and dividend sustainability, while the common sale is a routine discretionary disposition. No C-suite open-market common stock purchases; no clustered insider buying in common shares that would signal unusual conviction ahead of the print.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Rollins, James D. III</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Common Stock</w:t>
            </w:r>
          </w:p>
        </w:tc>
        <w:tc>
          <w:tcPr>
            <w:tcW w:type="dxa" w:w="1234"/>
          </w:tcPr>
          <w:p>
            <w:r>
              <w:rPr>
                <w:rFonts w:ascii="Calibri" w:hAnsi="Calibri"/>
                <w:sz w:val="22"/>
              </w:rPr>
              <w:t>223,522</w:t>
            </w:r>
          </w:p>
        </w:tc>
        <w:tc>
          <w:tcPr>
            <w:tcW w:type="dxa" w:w="1234"/>
          </w:tcPr>
          <w:p>
            <w:r>
              <w:rPr>
                <w:rFonts w:ascii="Calibri" w:hAnsi="Calibri"/>
                <w:sz w:val="22"/>
              </w:rPr>
              <w:t>Jun 12, 2026</w:t>
            </w:r>
          </w:p>
        </w:tc>
        <w:tc>
          <w:tcPr>
            <w:tcW w:type="dxa" w:w="1234"/>
          </w:tcPr>
          <w:p>
            <w:r>
              <w:rPr>
                <w:rFonts w:ascii="Calibri" w:hAnsi="Calibri"/>
                <w:sz w:val="22"/>
              </w:rPr>
              <w:t>Discretionary sale; no 10b5-1 plan; large in absolute terms but retains 612,155 shares post-sale</w:t>
            </w:r>
          </w:p>
        </w:tc>
      </w:tr>
      <w:tr>
        <w:tc>
          <w:tcPr>
            <w:tcW w:type="dxa" w:w="1234"/>
          </w:tcPr>
          <w:p>
            <w:r>
              <w:rPr>
                <w:rFonts w:ascii="Calibri" w:hAnsi="Calibri"/>
                <w:sz w:val="22"/>
              </w:rPr>
              <w:t>Rollins, James D. III</w:t>
            </w:r>
          </w:p>
        </w:tc>
        <w:tc>
          <w:tcPr>
            <w:tcW w:type="dxa" w:w="1234"/>
          </w:tcPr>
          <w:p>
            <w:r>
              <w:rPr>
                <w:rFonts w:ascii="Calibri" w:hAnsi="Calibri"/>
                <w:sz w:val="22"/>
              </w:rPr>
              <w:t>Director</w:t>
            </w:r>
          </w:p>
        </w:tc>
        <w:tc>
          <w:tcPr>
            <w:tcW w:type="dxa" w:w="1234"/>
          </w:tcPr>
          <w:p>
            <w:r>
              <w:rPr>
                <w:rFonts w:ascii="Calibri" w:hAnsi="Calibri"/>
                <w:sz w:val="22"/>
              </w:rPr>
              <w:t>Open Market Buy</w:t>
            </w:r>
          </w:p>
        </w:tc>
        <w:tc>
          <w:tcPr>
            <w:tcW w:type="dxa" w:w="1234"/>
          </w:tcPr>
          <w:p>
            <w:r>
              <w:rPr>
                <w:rFonts w:ascii="Calibri" w:hAnsi="Calibri"/>
                <w:sz w:val="22"/>
              </w:rPr>
              <w:t>Pref. Stock (Ser. H, 4.50%)</w:t>
            </w:r>
          </w:p>
        </w:tc>
        <w:tc>
          <w:tcPr>
            <w:tcW w:type="dxa" w:w="1234"/>
          </w:tcPr>
          <w:p>
            <w:r>
              <w:rPr>
                <w:rFonts w:ascii="Calibri" w:hAnsi="Calibri"/>
                <w:sz w:val="22"/>
              </w:rPr>
              <w:t>11,127</w:t>
            </w:r>
          </w:p>
        </w:tc>
        <w:tc>
          <w:tcPr>
            <w:tcW w:type="dxa" w:w="1234"/>
          </w:tcPr>
          <w:p>
            <w:r>
              <w:rPr>
                <w:rFonts w:ascii="Calibri" w:hAnsi="Calibri"/>
                <w:sz w:val="22"/>
              </w:rPr>
              <w:t>Jun 2, 2026</w:t>
            </w:r>
          </w:p>
        </w:tc>
        <w:tc>
          <w:tcPr>
            <w:tcW w:type="dxa" w:w="1234"/>
          </w:tcPr>
          <w:p>
            <w:r>
              <w:rPr>
                <w:rFonts w:ascii="Calibri" w:hAnsi="Calibri"/>
                <w:sz w:val="22"/>
              </w:rPr>
              <w:t>Open-market purchase of preferred depositary shares; indirect ownership via LLC; signals income/credit conviction</w:t>
            </w:r>
          </w:p>
        </w:tc>
      </w:tr>
      <w:tr>
        <w:tc>
          <w:tcPr>
            <w:tcW w:type="dxa" w:w="1234"/>
          </w:tcPr>
          <w:p>
            <w:r>
              <w:rPr>
                <w:rFonts w:ascii="Calibri" w:hAnsi="Calibri"/>
                <w:sz w:val="22"/>
              </w:rPr>
              <w:t>Rollins, James D. III</w:t>
            </w:r>
          </w:p>
        </w:tc>
        <w:tc>
          <w:tcPr>
            <w:tcW w:type="dxa" w:w="1234"/>
          </w:tcPr>
          <w:p>
            <w:r>
              <w:rPr>
                <w:rFonts w:ascii="Calibri" w:hAnsi="Calibri"/>
                <w:sz w:val="22"/>
              </w:rPr>
              <w:t>Director</w:t>
            </w:r>
          </w:p>
        </w:tc>
        <w:tc>
          <w:tcPr>
            <w:tcW w:type="dxa" w:w="1234"/>
          </w:tcPr>
          <w:p>
            <w:r>
              <w:rPr>
                <w:rFonts w:ascii="Calibri" w:hAnsi="Calibri"/>
                <w:sz w:val="22"/>
              </w:rPr>
              <w:t>Open Market Buy</w:t>
            </w:r>
          </w:p>
        </w:tc>
        <w:tc>
          <w:tcPr>
            <w:tcW w:type="dxa" w:w="1234"/>
          </w:tcPr>
          <w:p>
            <w:r>
              <w:rPr>
                <w:rFonts w:ascii="Calibri" w:hAnsi="Calibri"/>
                <w:sz w:val="22"/>
              </w:rPr>
              <w:t>Pref. Stock (Ser. L, 5.50%)</w:t>
            </w:r>
          </w:p>
        </w:tc>
        <w:tc>
          <w:tcPr>
            <w:tcW w:type="dxa" w:w="1234"/>
          </w:tcPr>
          <w:p>
            <w:r>
              <w:rPr>
                <w:rFonts w:ascii="Calibri" w:hAnsi="Calibri"/>
                <w:sz w:val="22"/>
              </w:rPr>
              <w:t>1,971</w:t>
            </w:r>
          </w:p>
        </w:tc>
        <w:tc>
          <w:tcPr>
            <w:tcW w:type="dxa" w:w="1234"/>
          </w:tcPr>
          <w:p>
            <w:r>
              <w:rPr>
                <w:rFonts w:ascii="Calibri" w:hAnsi="Calibri"/>
                <w:sz w:val="22"/>
              </w:rPr>
              <w:t>Apr 27, 2026</w:t>
            </w:r>
          </w:p>
        </w:tc>
        <w:tc>
          <w:tcPr>
            <w:tcW w:type="dxa" w:w="1234"/>
          </w:tcPr>
          <w:p>
            <w:r>
              <w:rPr>
                <w:rFonts w:ascii="Calibri" w:hAnsi="Calibri"/>
                <w:sz w:val="22"/>
              </w:rPr>
              <w:t>Open-market preferred purchase; direct ownership; consistent pattern of preferred accumulation</w:t>
            </w:r>
          </w:p>
        </w:tc>
      </w:tr>
      <w:tr>
        <w:tc>
          <w:tcPr>
            <w:tcW w:type="dxa" w:w="1234"/>
          </w:tcPr>
          <w:p>
            <w:r>
              <w:rPr>
                <w:rFonts w:ascii="Calibri" w:hAnsi="Calibri"/>
                <w:sz w:val="22"/>
              </w:rPr>
              <w:t>Rollins, James D. III</w:t>
            </w:r>
          </w:p>
        </w:tc>
        <w:tc>
          <w:tcPr>
            <w:tcW w:type="dxa" w:w="1234"/>
          </w:tcPr>
          <w:p>
            <w:r>
              <w:rPr>
                <w:rFonts w:ascii="Calibri" w:hAnsi="Calibri"/>
                <w:sz w:val="22"/>
              </w:rPr>
              <w:t>Director</w:t>
            </w:r>
          </w:p>
        </w:tc>
        <w:tc>
          <w:tcPr>
            <w:tcW w:type="dxa" w:w="1234"/>
          </w:tcPr>
          <w:p>
            <w:r>
              <w:rPr>
                <w:rFonts w:ascii="Calibri" w:hAnsi="Calibri"/>
                <w:sz w:val="22"/>
              </w:rPr>
              <w:t>Open Market Buy</w:t>
            </w:r>
          </w:p>
        </w:tc>
        <w:tc>
          <w:tcPr>
            <w:tcW w:type="dxa" w:w="1234"/>
          </w:tcPr>
          <w:p>
            <w:r>
              <w:rPr>
                <w:rFonts w:ascii="Calibri" w:hAnsi="Calibri"/>
                <w:sz w:val="22"/>
              </w:rPr>
              <w:t>Pref. Stock (Ser. H, 4.50%)</w:t>
            </w:r>
          </w:p>
        </w:tc>
        <w:tc>
          <w:tcPr>
            <w:tcW w:type="dxa" w:w="1234"/>
          </w:tcPr>
          <w:p>
            <w:r>
              <w:rPr>
                <w:rFonts w:ascii="Calibri" w:hAnsi="Calibri"/>
                <w:sz w:val="22"/>
              </w:rPr>
              <w:t>6,500</w:t>
            </w:r>
          </w:p>
        </w:tc>
        <w:tc>
          <w:tcPr>
            <w:tcW w:type="dxa" w:w="1234"/>
          </w:tcPr>
          <w:p>
            <w:r>
              <w:rPr>
                <w:rFonts w:ascii="Calibri" w:hAnsi="Calibri"/>
                <w:sz w:val="22"/>
              </w:rPr>
              <w:t>Apr 27, 2026</w:t>
            </w:r>
          </w:p>
        </w:tc>
        <w:tc>
          <w:tcPr>
            <w:tcW w:type="dxa" w:w="1234"/>
          </w:tcPr>
          <w:p>
            <w:r>
              <w:rPr>
                <w:rFonts w:ascii="Calibri" w:hAnsi="Calibri"/>
                <w:sz w:val="22"/>
              </w:rPr>
              <w:t>Open-market preferred purchase; direct ownership; same-day as Ser. L purchase</w:t>
            </w:r>
          </w:p>
        </w:tc>
      </w:tr>
      <w:tr>
        <w:tc>
          <w:tcPr>
            <w:tcW w:type="dxa" w:w="1234"/>
          </w:tcPr>
          <w:p>
            <w:r>
              <w:rPr>
                <w:rFonts w:ascii="Calibri" w:hAnsi="Calibri"/>
                <w:sz w:val="22"/>
              </w:rPr>
              <w:t>Rollins, James D. III</w:t>
            </w:r>
          </w:p>
        </w:tc>
        <w:tc>
          <w:tcPr>
            <w:tcW w:type="dxa" w:w="1234"/>
          </w:tcPr>
          <w:p>
            <w:r>
              <w:rPr>
                <w:rFonts w:ascii="Calibri" w:hAnsi="Calibri"/>
                <w:sz w:val="22"/>
              </w:rPr>
              <w:t>Director</w:t>
            </w:r>
          </w:p>
        </w:tc>
        <w:tc>
          <w:tcPr>
            <w:tcW w:type="dxa" w:w="1234"/>
          </w:tcPr>
          <w:p>
            <w:r>
              <w:rPr>
                <w:rFonts w:ascii="Calibri" w:hAnsi="Calibri"/>
                <w:sz w:val="22"/>
              </w:rPr>
              <w:t>Open Market Buy</w:t>
            </w:r>
          </w:p>
        </w:tc>
        <w:tc>
          <w:tcPr>
            <w:tcW w:type="dxa" w:w="1234"/>
          </w:tcPr>
          <w:p>
            <w:r>
              <w:rPr>
                <w:rFonts w:ascii="Calibri" w:hAnsi="Calibri"/>
                <w:sz w:val="22"/>
              </w:rPr>
              <w:t>Pref. Stock (Ser. L, 5.50%)</w:t>
            </w:r>
          </w:p>
        </w:tc>
        <w:tc>
          <w:tcPr>
            <w:tcW w:type="dxa" w:w="1234"/>
          </w:tcPr>
          <w:p>
            <w:r>
              <w:rPr>
                <w:rFonts w:ascii="Calibri" w:hAnsi="Calibri"/>
                <w:sz w:val="22"/>
              </w:rPr>
              <w:t>3,029</w:t>
            </w:r>
          </w:p>
        </w:tc>
        <w:tc>
          <w:tcPr>
            <w:tcW w:type="dxa" w:w="1234"/>
          </w:tcPr>
          <w:p>
            <w:r>
              <w:rPr>
                <w:rFonts w:ascii="Calibri" w:hAnsi="Calibri"/>
                <w:sz w:val="22"/>
              </w:rPr>
              <w:t>Apr 28, 2026</w:t>
            </w:r>
          </w:p>
        </w:tc>
        <w:tc>
          <w:tcPr>
            <w:tcW w:type="dxa" w:w="1234"/>
          </w:tcPr>
          <w:p>
            <w:r>
              <w:rPr>
                <w:rFonts w:ascii="Calibri" w:hAnsi="Calibri"/>
                <w:sz w:val="22"/>
              </w:rPr>
              <w:t>Open-market preferred purchase; direct ownership; follow-on to Apr 27 buys</w:t>
            </w:r>
          </w:p>
        </w:tc>
      </w:tr>
      <w:tr>
        <w:tc>
          <w:tcPr>
            <w:tcW w:type="dxa" w:w="1234"/>
          </w:tcPr>
          <w:p>
            <w:r>
              <w:rPr>
                <w:rFonts w:ascii="Calibri" w:hAnsi="Calibri"/>
                <w:sz w:val="22"/>
              </w:rPr>
              <w:t>Hingst, Marcy C.</w:t>
            </w:r>
          </w:p>
        </w:tc>
        <w:tc>
          <w:tcPr>
            <w:tcW w:type="dxa" w:w="1234"/>
          </w:tcPr>
          <w:p>
            <w:r>
              <w:rPr>
                <w:rFonts w:ascii="Calibri" w:hAnsi="Calibri"/>
                <w:sz w:val="22"/>
              </w:rPr>
              <w:t>SEVP &amp; General Counsel</w:t>
            </w:r>
          </w:p>
        </w:tc>
        <w:tc>
          <w:tcPr>
            <w:tcW w:type="dxa" w:w="1234"/>
          </w:tcPr>
          <w:p>
            <w:r>
              <w:rPr>
                <w:rFonts w:ascii="Calibri" w:hAnsi="Calibri"/>
                <w:sz w:val="22"/>
              </w:rPr>
              <w:t>10b5-1 Planned Sale</w:t>
            </w:r>
          </w:p>
        </w:tc>
        <w:tc>
          <w:tcPr>
            <w:tcW w:type="dxa" w:w="1234"/>
          </w:tcPr>
          <w:p>
            <w:r>
              <w:rPr>
                <w:rFonts w:ascii="Calibri" w:hAnsi="Calibri"/>
                <w:sz w:val="22"/>
              </w:rPr>
              <w:t>Common Stock</w:t>
            </w:r>
          </w:p>
        </w:tc>
        <w:tc>
          <w:tcPr>
            <w:tcW w:type="dxa" w:w="1234"/>
          </w:tcPr>
          <w:p>
            <w:r>
              <w:rPr>
                <w:rFonts w:ascii="Calibri" w:hAnsi="Calibri"/>
                <w:sz w:val="22"/>
              </w:rPr>
              <w:t>10,568</w:t>
            </w:r>
          </w:p>
        </w:tc>
        <w:tc>
          <w:tcPr>
            <w:tcW w:type="dxa" w:w="1234"/>
          </w:tcPr>
          <w:p>
            <w:r>
              <w:rPr>
                <w:rFonts w:ascii="Calibri" w:hAnsi="Calibri"/>
                <w:sz w:val="22"/>
              </w:rPr>
              <w:t>Jun 25, 2026</w:t>
            </w:r>
          </w:p>
        </w:tc>
        <w:tc>
          <w:tcPr>
            <w:tcW w:type="dxa" w:w="1234"/>
          </w:tcPr>
          <w:p>
            <w:r>
              <w:rPr>
                <w:rFonts w:ascii="Calibri" w:hAnsi="Calibri"/>
                <w:sz w:val="22"/>
              </w:rPr>
              <w:t>Pre-planned 10b5-1 sale; routine; retains 267,859 shares post-sale; not a discretionary signal</w:t>
            </w:r>
          </w:p>
        </w:tc>
      </w:tr>
      <w:tr>
        <w:tc>
          <w:tcPr>
            <w:tcW w:type="dxa" w:w="1234"/>
          </w:tcPr>
          <w:p>
            <w:r>
              <w:rPr>
                <w:rFonts w:ascii="Calibri" w:hAnsi="Calibri"/>
                <w:sz w:val="22"/>
              </w:rPr>
              <w:t>Kleinman, Scott D.</w:t>
            </w:r>
          </w:p>
        </w:tc>
        <w:tc>
          <w:tcPr>
            <w:tcW w:type="dxa" w:w="1234"/>
          </w:tcPr>
          <w:p>
            <w:r>
              <w:rPr>
                <w:rFonts w:ascii="Calibri" w:hAnsi="Calibri"/>
                <w:sz w:val="22"/>
              </w:rPr>
              <w:t>Senior EVP</w:t>
            </w:r>
          </w:p>
        </w:tc>
        <w:tc>
          <w:tcPr>
            <w:tcW w:type="dxa" w:w="1234"/>
          </w:tcPr>
          <w:p>
            <w:r>
              <w:rPr>
                <w:rFonts w:ascii="Calibri" w:hAnsi="Calibri"/>
                <w:sz w:val="22"/>
              </w:rPr>
              <w:t>10b5-1 Planned Sale</w:t>
            </w:r>
          </w:p>
        </w:tc>
        <w:tc>
          <w:tcPr>
            <w:tcW w:type="dxa" w:w="1234"/>
          </w:tcPr>
          <w:p>
            <w:r>
              <w:rPr>
                <w:rFonts w:ascii="Calibri" w:hAnsi="Calibri"/>
                <w:sz w:val="22"/>
              </w:rPr>
              <w:t>Common Stock</w:t>
            </w:r>
          </w:p>
        </w:tc>
        <w:tc>
          <w:tcPr>
            <w:tcW w:type="dxa" w:w="1234"/>
          </w:tcPr>
          <w:p>
            <w:r>
              <w:rPr>
                <w:rFonts w:ascii="Calibri" w:hAnsi="Calibri"/>
                <w:sz w:val="22"/>
              </w:rPr>
              <w:t>19,425</w:t>
            </w:r>
          </w:p>
        </w:tc>
        <w:tc>
          <w:tcPr>
            <w:tcW w:type="dxa" w:w="1234"/>
          </w:tcPr>
          <w:p>
            <w:r>
              <w:rPr>
                <w:rFonts w:ascii="Calibri" w:hAnsi="Calibri"/>
                <w:sz w:val="22"/>
              </w:rPr>
              <w:t>Jun 1, 2026</w:t>
            </w:r>
          </w:p>
        </w:tc>
        <w:tc>
          <w:tcPr>
            <w:tcW w:type="dxa" w:w="1234"/>
          </w:tcPr>
          <w:p>
            <w:r>
              <w:rPr>
                <w:rFonts w:ascii="Calibri" w:hAnsi="Calibri"/>
                <w:sz w:val="22"/>
              </w:rPr>
              <w:t>Pre-planned 10b5-1 sale; routine; retains 464,336 shares post-sale; not a discretionary signal</w:t>
            </w:r>
          </w:p>
        </w:tc>
      </w:tr>
    </w:tbl>
    <w:p>
      <w:r>
        <w:rPr>
          <w:rFonts w:ascii="Calibri" w:hAnsi="Calibri"/>
          <w:b/>
          <w:color w:val="525866"/>
          <w:sz w:val="22"/>
        </w:rPr>
        <w:t xml:space="preserve">Overall assessment: </w:t>
      </w:r>
      <w:r>
        <w:rPr>
          <w:rFonts w:ascii="Calibri" w:hAnsi="Calibri"/>
          <w:color w:val="525866"/>
          <w:sz w:val="22"/>
        </w:rPr>
        <w:t>The two executive common stock sales (Hingst, Kleinman) are pre-planned 10b5-1 dispositions and carry no discretionary signal. Director Rollins' large discretionary common stock sale (223,522 shares on June 12) is notable in absolute size but he retains a substantial position (612,155 shares). His concurrent pattern of open-market preferred stock purchases (4 transactions across Ser. H and Ser. L) is a mild positive signal on credit quality and dividend sustainability. No C-suite open-market common stock purchases were filed in the period. Source: SEC Form 4 filings.</w:t>
      </w:r>
    </w:p>
    <w:p>
      <w:r>
        <w:br w:type="page"/>
      </w:r>
    </w:p>
    <w:p>
      <w:pPr>
        <w:pStyle w:val="Heading2"/>
      </w:pPr>
      <w:r>
        <w:rPr>
          <w:rFonts w:ascii="Calibri" w:hAnsi="Calibri"/>
          <w:b/>
          <w:color w:val="3B4259"/>
          <w:sz w:val="28"/>
        </w:rPr>
        <w:t>8. Peer Commentary — Current-Quarter Read-Throughs (Q2 2026)</w:t>
      </w:r>
    </w:p>
    <w:p>
      <w:r>
        <w:rPr>
          <w:rFonts w:ascii="Calibri" w:hAnsi="Calibri"/>
          <w:b/>
          <w:color w:val="525866"/>
          <w:sz w:val="22"/>
        </w:rPr>
        <w:t xml:space="preserve">Key Takeaway: </w:t>
      </w:r>
      <w:r>
        <w:rPr>
          <w:rFonts w:ascii="Calibri" w:hAnsi="Calibri"/>
          <w:color w:val="525866"/>
          <w:sz w:val="22"/>
        </w:rPr>
        <w:t>Peers reporting Q2 2026 results (KEY, CFG, RF, USB, FITB) collectively paint a constructive picture for HBAN: NII is growing sequentially driven by fixed-rate asset repricing, credit is normalizing, fee income (especially capital markets and wealth) is strong, and deposit costs are stable-to-declining. The read-through is broadly positive for HBAN's Q2 setup, with the Cadence conversion adding an HBAN-specific tailwind that peers do not have.</w:t>
      </w:r>
    </w:p>
    <w:p>
      <w:r>
        <w:rPr>
          <w:rFonts w:ascii="Calibri" w:hAnsi="Calibri"/>
          <w:b/>
          <w:color w:val="525866"/>
          <w:sz w:val="22"/>
        </w:rPr>
        <w:t xml:space="preserve">Scope: </w:t>
      </w:r>
      <w:r>
        <w:rPr>
          <w:rFonts w:ascii="Calibri" w:hAnsi="Calibri"/>
          <w:color w:val="525866"/>
          <w:sz w:val="22"/>
        </w:rPr>
        <w:t>All commentary below is from Q2 2026 earnings calls and releases (July 2026), pertaining to conditions in the quarter ended June 30, 2026. Prior-quarter (Q1 2026) results commentary from peers is explicitly excluded. Sector read-throughs are distinguished from company-specific factors.</w:t>
      </w:r>
    </w:p>
    <w:p>
      <w:pPr>
        <w:pStyle w:val="Heading3"/>
      </w:pPr>
      <w:r>
        <w:rPr>
          <w:rFonts w:ascii="Calibri" w:hAnsi="Calibri"/>
          <w:b/>
          <w:color w:val="3B4259"/>
          <w:sz w:val="24"/>
        </w:rPr>
        <w:t>8.1 Net Interest Income &amp; Net Interest Margin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Q2 2026 NIM</w:t>
            </w:r>
          </w:p>
        </w:tc>
        <w:tc>
          <w:tcPr>
            <w:tcW w:type="dxa" w:w="1728"/>
            <w:shd w:val="clear" w:color="auto" w:fill="3B4259"/>
          </w:tcPr>
          <w:p>
            <w:r>
              <w:rPr>
                <w:rFonts w:ascii="Calibri" w:hAnsi="Calibri"/>
                <w:b/>
                <w:color w:val="FFFFFF"/>
                <w:sz w:val="22"/>
              </w:rPr>
              <w:t>NII Trend (QoQ)</w:t>
            </w:r>
          </w:p>
        </w:tc>
        <w:tc>
          <w:tcPr>
            <w:tcW w:type="dxa" w:w="1728"/>
            <w:shd w:val="clear" w:color="auto" w:fill="3B4259"/>
          </w:tcPr>
          <w:p>
            <w:r>
              <w:rPr>
                <w:rFonts w:ascii="Calibri" w:hAnsi="Calibri"/>
                <w:b/>
                <w:color w:val="FFFFFF"/>
                <w:sz w:val="22"/>
              </w:rPr>
              <w:t>Sector Read-Through for HBAN</w:t>
            </w:r>
          </w:p>
        </w:tc>
        <w:tc>
          <w:tcPr>
            <w:tcW w:type="dxa" w:w="1728"/>
            <w:shd w:val="clear" w:color="auto" w:fill="3B4259"/>
          </w:tcPr>
          <w:p>
            <w:r>
              <w:rPr>
                <w:rFonts w:ascii="Calibri" w:hAnsi="Calibri"/>
                <w:b/>
                <w:color w:val="FFFFFF"/>
                <w:sz w:val="22"/>
              </w:rPr>
              <w:t>Company-Specific (Exclude)</w:t>
            </w:r>
          </w:p>
        </w:tc>
      </w:tr>
      <w:tr>
        <w:tc>
          <w:tcPr>
            <w:tcW w:type="dxa" w:w="1728"/>
          </w:tcPr>
          <w:p>
            <w:r>
              <w:rPr>
                <w:rFonts w:ascii="Calibri" w:hAnsi="Calibri"/>
                <w:sz w:val="22"/>
              </w:rPr>
              <w:t>Regions Financial (RF)</w:t>
            </w:r>
          </w:p>
        </w:tc>
        <w:tc>
          <w:tcPr>
            <w:tcW w:type="dxa" w:w="1728"/>
          </w:tcPr>
          <w:p>
            <w:r>
              <w:rPr>
                <w:rFonts w:ascii="Calibri" w:hAnsi="Calibri"/>
                <w:sz w:val="22"/>
              </w:rPr>
              <w:t>3.66%</w:t>
            </w:r>
          </w:p>
        </w:tc>
        <w:tc>
          <w:tcPr>
            <w:tcW w:type="dxa" w:w="1728"/>
          </w:tcPr>
          <w:p>
            <w:r>
              <w:rPr>
                <w:rFonts w:ascii="Calibri" w:hAnsi="Calibri"/>
                <w:sz w:val="22"/>
              </w:rPr>
              <w:t>+2% QoQ</w:t>
            </w:r>
          </w:p>
        </w:tc>
        <w:tc>
          <w:tcPr>
            <w:tcW w:type="dxa" w:w="1728"/>
          </w:tcPr>
          <w:p>
            <w:r>
              <w:rPr>
                <w:rFonts w:ascii="Calibri" w:hAnsi="Calibri"/>
                <w:sz w:val="22"/>
              </w:rPr>
              <w:t>Fixed-rate asset repricing driving NII growth; elevated long-term rates support pricing on new term loans and securities; balance sheet repricing expected to support margin expansion over multiple years. NIM exit guided to ~3.70% by year-end.</w:t>
            </w:r>
          </w:p>
        </w:tc>
        <w:tc>
          <w:tcPr>
            <w:tcW w:type="dxa" w:w="1728"/>
          </w:tcPr>
          <w:p>
            <w:r>
              <w:rPr>
                <w:rFonts w:ascii="Calibri" w:hAnsi="Calibri"/>
                <w:sz w:val="22"/>
              </w:rPr>
              <w:t>RF-specific securities repositioning transaction; RF's specific $3B fixed-rate repricing schedule with 75–100 bps pickup.</w:t>
            </w:r>
          </w:p>
        </w:tc>
      </w:tr>
      <w:tr>
        <w:tc>
          <w:tcPr>
            <w:tcW w:type="dxa" w:w="1728"/>
          </w:tcPr>
          <w:p>
            <w:r>
              <w:rPr>
                <w:rFonts w:ascii="Calibri" w:hAnsi="Calibri"/>
                <w:sz w:val="22"/>
              </w:rPr>
              <w:t>KeyCorp (KEY)</w:t>
            </w:r>
          </w:p>
        </w:tc>
        <w:tc>
          <w:tcPr>
            <w:tcW w:type="dxa" w:w="1728"/>
          </w:tcPr>
          <w:p>
            <w:r>
              <w:rPr>
                <w:rFonts w:ascii="Calibri" w:hAnsi="Calibri"/>
                <w:sz w:val="22"/>
              </w:rPr>
              <w:t>2.89%</w:t>
            </w:r>
          </w:p>
        </w:tc>
        <w:tc>
          <w:tcPr>
            <w:tcW w:type="dxa" w:w="1728"/>
          </w:tcPr>
          <w:p>
            <w:r>
              <w:rPr>
                <w:rFonts w:ascii="Calibri" w:hAnsi="Calibri"/>
                <w:sz w:val="22"/>
              </w:rPr>
              <w:t>+2% QoQ (TE NII)</w:t>
            </w:r>
          </w:p>
        </w:tc>
        <w:tc>
          <w:tcPr>
            <w:tcW w:type="dxa" w:w="1728"/>
          </w:tcPr>
          <w:p>
            <w:r>
              <w:rPr>
                <w:rFonts w:ascii="Calibri" w:hAnsi="Calibri"/>
                <w:sz w:val="22"/>
              </w:rPr>
              <w:t>NIM expansion driven by commercial loan growth and fixed-rate asset repricing; overnight SOFR changes impact NIM; seasonal deposit trough in late May is a common dynamic; willingness to use wholesale funding to avoid repricing core deposits is a relevant strategy.</w:t>
            </w:r>
          </w:p>
        </w:tc>
        <w:tc>
          <w:tcPr>
            <w:tcW w:type="dxa" w:w="1728"/>
          </w:tcPr>
          <w:p>
            <w:r>
              <w:rPr>
                <w:rFonts w:ascii="Calibri" w:hAnsi="Calibri"/>
                <w:sz w:val="22"/>
              </w:rPr>
              <w:t>KEY's specific decision to fill seasonal deposit gap with wholesale funds; KEY's 56% cumulative deposit beta; KEY's specific $9B fixed-rate repricing in H2.</w:t>
            </w:r>
          </w:p>
        </w:tc>
      </w:tr>
      <w:tr>
        <w:tc>
          <w:tcPr>
            <w:tcW w:type="dxa" w:w="1728"/>
          </w:tcPr>
          <w:p>
            <w:r>
              <w:rPr>
                <w:rFonts w:ascii="Calibri" w:hAnsi="Calibri"/>
                <w:sz w:val="22"/>
              </w:rPr>
              <w:t>Citizens Financial (CFG)</w:t>
            </w:r>
          </w:p>
        </w:tc>
        <w:tc>
          <w:tcPr>
            <w:tcW w:type="dxa" w:w="1728"/>
          </w:tcPr>
          <w:p>
            <w:r>
              <w:rPr>
                <w:rFonts w:ascii="Calibri" w:hAnsi="Calibri"/>
                <w:sz w:val="22"/>
              </w:rPr>
              <w:t>Expanded +3 bps QoQ</w:t>
            </w:r>
          </w:p>
        </w:tc>
        <w:tc>
          <w:tcPr>
            <w:tcW w:type="dxa" w:w="1728"/>
          </w:tcPr>
          <w:p>
            <w:r>
              <w:rPr>
                <w:rFonts w:ascii="Calibri" w:hAnsi="Calibri"/>
                <w:sz w:val="22"/>
              </w:rPr>
              <w:t>+4.4% QoQ</w:t>
            </w:r>
          </w:p>
        </w:tc>
        <w:tc>
          <w:tcPr>
            <w:tcW w:type="dxa" w:w="1728"/>
          </w:tcPr>
          <w:p>
            <w:r>
              <w:rPr>
                <w:rFonts w:ascii="Calibri" w:hAnsi="Calibri"/>
                <w:sz w:val="22"/>
              </w:rPr>
              <w:t>NIM expansion despite slightly rising funding costs, driven by DDA growth and fixed-rate asset repricing, is achievable for regional banks. Terminated swap benefits and non-core runoff contributing to NIM expansion are sector-relevant dynamics.</w:t>
            </w:r>
          </w:p>
        </w:tc>
        <w:tc>
          <w:tcPr>
            <w:tcW w:type="dxa" w:w="1728"/>
          </w:tcPr>
          <w:p>
            <w:r>
              <w:rPr>
                <w:rFonts w:ascii="Calibri" w:hAnsi="Calibri"/>
                <w:sz w:val="22"/>
              </w:rPr>
              <w:t>CFG's specific terminated swap benefits; CFG's 48% deposit beta; CFG's non-core auto portfolio runoff.</w:t>
            </w:r>
          </w:p>
        </w:tc>
      </w:tr>
    </w:tbl>
    <w:p>
      <w:r>
        <w:rPr>
          <w:rFonts w:ascii="Calibri" w:hAnsi="Calibri"/>
          <w:b/>
          <w:color w:val="525866"/>
          <w:sz w:val="22"/>
        </w:rPr>
        <w:t xml:space="preserve">HBAN Read-Through (NII/NIM): </w:t>
      </w:r>
      <w:r>
        <w:rPr>
          <w:rFonts w:ascii="Calibri" w:hAnsi="Calibri"/>
          <w:color w:val="525866"/>
          <w:sz w:val="22"/>
        </w:rPr>
        <w:t>All three peers reported sequential NII growth of ~2–4% in Q2 2026, driven by fixed-rate asset repricing and controlled deposit costs — the same dynamics HBAN management cited as the primary NIM expansion drivers for the back half of 2026. The sector-wide NIM expansion trend is a positive read-through for HBAN's guided high-3.20s NIM trajectory. HBAN has an additional tailwind peers do not: the Cadence deposit cost optimization (higher-cost funding buckets being repriced post-conversion) which CFO Wasserman described as a "shorter-term opportunity" to execute in Q3. The sector evidence suggests the NIM environment is supportive, not deteriorating. Sources: RF Q2 2026 Earnings Call; KEY Q2 2026 Earnings Call; CFG Q2 2026 Earnings Call.</w:t>
      </w:r>
    </w:p>
    <w:p>
      <w:pPr>
        <w:pStyle w:val="Heading3"/>
      </w:pPr>
      <w:r>
        <w:rPr>
          <w:rFonts w:ascii="Calibri" w:hAnsi="Calibri"/>
          <w:b/>
          <w:color w:val="3B4259"/>
          <w:sz w:val="24"/>
        </w:rPr>
        <w:t>8.2 Loan Growth &amp; Credit Quality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Loan Growth (QoQ)</w:t>
            </w:r>
          </w:p>
        </w:tc>
        <w:tc>
          <w:tcPr>
            <w:tcW w:type="dxa" w:w="1728"/>
            <w:shd w:val="clear" w:color="auto" w:fill="3B4259"/>
          </w:tcPr>
          <w:p>
            <w:r>
              <w:rPr>
                <w:rFonts w:ascii="Calibri" w:hAnsi="Calibri"/>
                <w:b/>
                <w:color w:val="FFFFFF"/>
                <w:sz w:val="22"/>
              </w:rPr>
              <w:t>NCO Rate</w:t>
            </w:r>
          </w:p>
        </w:tc>
        <w:tc>
          <w:tcPr>
            <w:tcW w:type="dxa" w:w="1728"/>
            <w:shd w:val="clear" w:color="auto" w:fill="3B4259"/>
          </w:tcPr>
          <w:p>
            <w:r>
              <w:rPr>
                <w:rFonts w:ascii="Calibri" w:hAnsi="Calibri"/>
                <w:b/>
                <w:color w:val="FFFFFF"/>
                <w:sz w:val="22"/>
              </w:rPr>
              <w:t>Sector Read-Through for HBAN</w:t>
            </w:r>
          </w:p>
        </w:tc>
        <w:tc>
          <w:tcPr>
            <w:tcW w:type="dxa" w:w="1728"/>
            <w:shd w:val="clear" w:color="auto" w:fill="3B4259"/>
          </w:tcPr>
          <w:p>
            <w:r>
              <w:rPr>
                <w:rFonts w:ascii="Calibri" w:hAnsi="Calibri"/>
                <w:b/>
                <w:color w:val="FFFFFF"/>
                <w:sz w:val="22"/>
              </w:rPr>
              <w:t>Company-Specific (Exclude)</w:t>
            </w:r>
          </w:p>
        </w:tc>
      </w:tr>
      <w:tr>
        <w:tc>
          <w:tcPr>
            <w:tcW w:type="dxa" w:w="1728"/>
          </w:tcPr>
          <w:p>
            <w:r>
              <w:rPr>
                <w:rFonts w:ascii="Calibri" w:hAnsi="Calibri"/>
                <w:sz w:val="22"/>
              </w:rPr>
              <w:t>Regions Financial (RF)</w:t>
            </w:r>
          </w:p>
        </w:tc>
        <w:tc>
          <w:tcPr>
            <w:tcW w:type="dxa" w:w="1728"/>
          </w:tcPr>
          <w:p>
            <w:r>
              <w:rPr>
                <w:rFonts w:ascii="Calibri" w:hAnsi="Calibri"/>
                <w:sz w:val="22"/>
              </w:rPr>
              <w:t>Avg. +2%; Period-end +1%</w:t>
            </w:r>
          </w:p>
        </w:tc>
        <w:tc>
          <w:tcPr>
            <w:tcW w:type="dxa" w:w="1728"/>
          </w:tcPr>
          <w:p>
            <w:r>
              <w:rPr>
                <w:rFonts w:ascii="Calibri" w:hAnsi="Calibri"/>
                <w:sz w:val="22"/>
              </w:rPr>
              <w:t>42 bps (down 12 bps QoQ)</w:t>
            </w:r>
          </w:p>
        </w:tc>
        <w:tc>
          <w:tcPr>
            <w:tcW w:type="dxa" w:w="1728"/>
          </w:tcPr>
          <w:p>
            <w:r>
              <w:rPr>
                <w:rFonts w:ascii="Calibri" w:hAnsi="Calibri"/>
                <w:sz w:val="22"/>
              </w:rPr>
              <w:t>Broad-based C&amp;I growth (power/utilities, manufacturing, govt/public sector); line utilization up 100 bps QoQ; pipelines up 15% YoY; credit largely normalized; slight multifamily softness in Texas (relevant for HBAN's new Texas exposure).</w:t>
            </w:r>
          </w:p>
        </w:tc>
        <w:tc>
          <w:tcPr>
            <w:tcW w:type="dxa" w:w="1728"/>
          </w:tcPr>
          <w:p>
            <w:r>
              <w:rPr>
                <w:rFonts w:ascii="Calibri" w:hAnsi="Calibri"/>
                <w:sz w:val="22"/>
              </w:rPr>
              <w:t>RF's specific portfolio resolution of trucking/communications/office credits; RF's specific ACL ratio of 1.63%.</w:t>
            </w:r>
          </w:p>
        </w:tc>
      </w:tr>
      <w:tr>
        <w:tc>
          <w:tcPr>
            <w:tcW w:type="dxa" w:w="1728"/>
          </w:tcPr>
          <w:p>
            <w:r>
              <w:rPr>
                <w:rFonts w:ascii="Calibri" w:hAnsi="Calibri"/>
                <w:sz w:val="22"/>
              </w:rPr>
              <w:t>KeyCorp (KEY)</w:t>
            </w:r>
          </w:p>
        </w:tc>
        <w:tc>
          <w:tcPr>
            <w:tcW w:type="dxa" w:w="1728"/>
          </w:tcPr>
          <w:p>
            <w:r>
              <w:rPr>
                <w:rFonts w:ascii="Calibri" w:hAnsi="Calibri"/>
                <w:sz w:val="22"/>
              </w:rPr>
              <w:t>Period-end CNI +3% QoQ; Avg. loans +$2.3B</w:t>
            </w:r>
          </w:p>
        </w:tc>
        <w:tc>
          <w:tcPr>
            <w:tcW w:type="dxa" w:w="1728"/>
          </w:tcPr>
          <w:p>
            <w:r>
              <w:rPr>
                <w:rFonts w:ascii="Calibri" w:hAnsi="Calibri"/>
                <w:sz w:val="22"/>
              </w:rPr>
              <w:t>42 bps</w:t>
            </w:r>
          </w:p>
        </w:tc>
        <w:tc>
          <w:tcPr>
            <w:tcW w:type="dxa" w:w="1728"/>
          </w:tcPr>
          <w:p>
            <w:r>
              <w:rPr>
                <w:rFonts w:ascii="Calibri" w:hAnsi="Calibri"/>
                <w:sz w:val="22"/>
              </w:rPr>
              <w:t>Strong C&amp;I growth from new relationships; utilities/power/renewables/real estate/tech as largest contributors; AI driving demand for electrical infrastructure build-out (relevant for HBAN's specialty verticals); line utilization improving; investment-grade credit mix improving; NPL increase from idiosyncratic items, not systemic.</w:t>
            </w:r>
          </w:p>
        </w:tc>
        <w:tc>
          <w:tcPr>
            <w:tcW w:type="dxa" w:w="1728"/>
          </w:tcPr>
          <w:p>
            <w:r>
              <w:rPr>
                <w:rFonts w:ascii="Calibri" w:hAnsi="Calibri"/>
                <w:sz w:val="22"/>
              </w:rPr>
              <w:t>KEY's specific REIT and specialty finance lending; KEY's 82% deposit primacy rate; KEY's specific $300M software company exposure.</w:t>
            </w:r>
          </w:p>
        </w:tc>
      </w:tr>
      <w:tr>
        <w:tc>
          <w:tcPr>
            <w:tcW w:type="dxa" w:w="1728"/>
          </w:tcPr>
          <w:p>
            <w:r>
              <w:rPr>
                <w:rFonts w:ascii="Calibri" w:hAnsi="Calibri"/>
                <w:sz w:val="22"/>
              </w:rPr>
              <w:t>Citizens Financial (CFG)</w:t>
            </w:r>
          </w:p>
        </w:tc>
        <w:tc>
          <w:tcPr>
            <w:tcW w:type="dxa" w:w="1728"/>
          </w:tcPr>
          <w:p>
            <w:r>
              <w:rPr>
                <w:rFonts w:ascii="Calibri" w:hAnsi="Calibri"/>
                <w:sz w:val="22"/>
              </w:rPr>
              <w:t>Avg. +2%; Period-end +3%</w:t>
            </w:r>
          </w:p>
        </w:tc>
        <w:tc>
          <w:tcPr>
            <w:tcW w:type="dxa" w:w="1728"/>
          </w:tcPr>
          <w:p>
            <w:r>
              <w:rPr>
                <w:rFonts w:ascii="Calibri" w:hAnsi="Calibri"/>
                <w:sz w:val="22"/>
              </w:rPr>
              <w:t>37 bps (down 2 bps QoQ)</w:t>
            </w:r>
          </w:p>
        </w:tc>
        <w:tc>
          <w:tcPr>
            <w:tcW w:type="dxa" w:w="1728"/>
          </w:tcPr>
          <w:p>
            <w:r>
              <w:rPr>
                <w:rFonts w:ascii="Calibri" w:hAnsi="Calibri"/>
                <w:sz w:val="22"/>
              </w:rPr>
              <w:t>Broad-based CNI growth across tech, healthcare, energy, FIG; stable loan spreads; credit trending favorably with declining NCOs and non-accruals; CRE (especially office) still being worked out but approaching bottom; ACL coverage stable.</w:t>
            </w:r>
          </w:p>
        </w:tc>
        <w:tc>
          <w:tcPr>
            <w:tcW w:type="dxa" w:w="1728"/>
          </w:tcPr>
          <w:p>
            <w:r>
              <w:rPr>
                <w:rFonts w:ascii="Calibri" w:hAnsi="Calibri"/>
                <w:sz w:val="22"/>
              </w:rPr>
              <w:t>CFG's specific private bank growth ($7B loans, $17.8B deposits); CFG's non-core auto runoff; CFG's general office portfolio workout.</w:t>
            </w:r>
          </w:p>
        </w:tc>
      </w:tr>
    </w:tbl>
    <w:p>
      <w:r>
        <w:rPr>
          <w:rFonts w:ascii="Calibri" w:hAnsi="Calibri"/>
          <w:b/>
          <w:color w:val="525866"/>
          <w:sz w:val="22"/>
        </w:rPr>
        <w:t xml:space="preserve">HBAN Read-Through (Loans/Credit): </w:t>
      </w:r>
      <w:r>
        <w:rPr>
          <w:rFonts w:ascii="Calibri" w:hAnsi="Calibri"/>
          <w:color w:val="525866"/>
          <w:sz w:val="22"/>
        </w:rPr>
        <w:t>Peers universally reported broad-based C&amp;I loan growth driven by new relationships and improving line utilization — a positive read-through for HBAN's commercial banking momentum. NCO rates of 37–42 bps across peers are consistent with HBAN's guided 25–35 bps range (HBAN has historically run below peers on credit quality). The slight multifamily softness in Texas flagged by RF is worth monitoring given HBAN's new Texas exposure post-Cadence, though management has not flagged this as a concern. The sector-wide credit normalization narrative is consistent with HBAN's own commentary. Sources: RF Q2 2026 Earnings Call; KEY Q2 2026 Earnings Call; CFG Q2 2026 Earnings Call.</w:t>
      </w:r>
    </w:p>
    <w:p>
      <w:pPr>
        <w:pStyle w:val="Heading3"/>
      </w:pPr>
      <w:r>
        <w:rPr>
          <w:rFonts w:ascii="Calibri" w:hAnsi="Calibri"/>
          <w:b/>
          <w:color w:val="3B4259"/>
          <w:sz w:val="24"/>
        </w:rPr>
        <w:t>8.3 Deposit Trends &amp; Funding Costs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Deposit Cost Trend</w:t>
            </w:r>
          </w:p>
        </w:tc>
        <w:tc>
          <w:tcPr>
            <w:tcW w:type="dxa" w:w="1728"/>
            <w:shd w:val="clear" w:color="auto" w:fill="3B4259"/>
          </w:tcPr>
          <w:p>
            <w:r>
              <w:rPr>
                <w:rFonts w:ascii="Calibri" w:hAnsi="Calibri"/>
                <w:b/>
                <w:color w:val="FFFFFF"/>
                <w:sz w:val="22"/>
              </w:rPr>
              <w:t>NIB Mix</w:t>
            </w:r>
          </w:p>
        </w:tc>
        <w:tc>
          <w:tcPr>
            <w:tcW w:type="dxa" w:w="1728"/>
            <w:shd w:val="clear" w:color="auto" w:fill="3B4259"/>
          </w:tcPr>
          <w:p>
            <w:r>
              <w:rPr>
                <w:rFonts w:ascii="Calibri" w:hAnsi="Calibri"/>
                <w:b/>
                <w:color w:val="FFFFFF"/>
                <w:sz w:val="22"/>
              </w:rPr>
              <w:t>Sector Read-Through for HBAN</w:t>
            </w:r>
          </w:p>
        </w:tc>
        <w:tc>
          <w:tcPr>
            <w:tcW w:type="dxa" w:w="1728"/>
            <w:shd w:val="clear" w:color="auto" w:fill="3B4259"/>
          </w:tcPr>
          <w:p>
            <w:r>
              <w:rPr>
                <w:rFonts w:ascii="Calibri" w:hAnsi="Calibri"/>
                <w:b/>
                <w:color w:val="FFFFFF"/>
                <w:sz w:val="22"/>
              </w:rPr>
              <w:t>Company-Specific (Exclude)</w:t>
            </w:r>
          </w:p>
        </w:tc>
      </w:tr>
      <w:tr>
        <w:tc>
          <w:tcPr>
            <w:tcW w:type="dxa" w:w="1728"/>
          </w:tcPr>
          <w:p>
            <w:r>
              <w:rPr>
                <w:rFonts w:ascii="Calibri" w:hAnsi="Calibri"/>
                <w:sz w:val="22"/>
              </w:rPr>
              <w:t>Regions Financial (RF)</w:t>
            </w:r>
          </w:p>
        </w:tc>
        <w:tc>
          <w:tcPr>
            <w:tcW w:type="dxa" w:w="1728"/>
          </w:tcPr>
          <w:p>
            <w:r>
              <w:rPr>
                <w:rFonts w:ascii="Calibri" w:hAnsi="Calibri"/>
                <w:sz w:val="22"/>
              </w:rPr>
              <w:t>IB deposit costs -3 bps QoQ to 1.69%</w:t>
            </w:r>
          </w:p>
        </w:tc>
        <w:tc>
          <w:tcPr>
            <w:tcW w:type="dxa" w:w="1728"/>
          </w:tcPr>
          <w:p>
            <w:r>
              <w:rPr>
                <w:rFonts w:ascii="Calibri" w:hAnsi="Calibri"/>
                <w:sz w:val="22"/>
              </w:rPr>
              <w:t>Low 30% range (stable)</w:t>
            </w:r>
          </w:p>
        </w:tc>
        <w:tc>
          <w:tcPr>
            <w:tcW w:type="dxa" w:w="1728"/>
          </w:tcPr>
          <w:p>
            <w:r>
              <w:rPr>
                <w:rFonts w:ascii="Calibri" w:hAnsi="Calibri"/>
                <w:sz w:val="22"/>
              </w:rPr>
              <w:t>Deposit costs declining despite competitive environment; CD-to-money-market shift is a common trend; stable NIB mix signals operational deposit base quality; deposit costs expected to be largely stable in H2 assuming flat Fed funds.</w:t>
            </w:r>
          </w:p>
        </w:tc>
        <w:tc>
          <w:tcPr>
            <w:tcW w:type="dxa" w:w="1728"/>
          </w:tcPr>
          <w:p>
            <w:r>
              <w:rPr>
                <w:rFonts w:ascii="Calibri" w:hAnsi="Calibri"/>
                <w:sz w:val="22"/>
              </w:rPr>
              <w:t>RF's specific $5B CD maturity benefit in Q2 (+30 bps pickup); RF's 76% loan-to-deposit ratio advantage.</w:t>
            </w:r>
          </w:p>
        </w:tc>
      </w:tr>
      <w:tr>
        <w:tc>
          <w:tcPr>
            <w:tcW w:type="dxa" w:w="1728"/>
          </w:tcPr>
          <w:p>
            <w:r>
              <w:rPr>
                <w:rFonts w:ascii="Calibri" w:hAnsi="Calibri"/>
                <w:sz w:val="22"/>
              </w:rPr>
              <w:t>KeyCorp (KEY)</w:t>
            </w:r>
          </w:p>
        </w:tc>
        <w:tc>
          <w:tcPr>
            <w:tcW w:type="dxa" w:w="1728"/>
          </w:tcPr>
          <w:p>
            <w:r>
              <w:rPr>
                <w:rFonts w:ascii="Calibri" w:hAnsi="Calibri"/>
                <w:sz w:val="22"/>
              </w:rPr>
              <w:t>Total deposit costs -2 bps QoQ to 1.63%</w:t>
            </w:r>
          </w:p>
        </w:tc>
        <w:tc>
          <w:tcPr>
            <w:tcW w:type="dxa" w:w="1728"/>
          </w:tcPr>
          <w:p>
            <w:r>
              <w:rPr>
                <w:rFonts w:ascii="Calibri" w:hAnsi="Calibri"/>
                <w:sz w:val="22"/>
              </w:rPr>
              <w:t>~19% NIB (24% incl. hybrid)</w:t>
            </w:r>
          </w:p>
        </w:tc>
        <w:tc>
          <w:tcPr>
            <w:tcW w:type="dxa" w:w="1728"/>
          </w:tcPr>
          <w:p>
            <w:r>
              <w:rPr>
                <w:rFonts w:ascii="Calibri" w:hAnsi="Calibri"/>
                <w:sz w:val="22"/>
              </w:rPr>
              <w:t>Seasonal deposit trough in late May is a common regional bank dynamic; deposit costs declining despite competitive environment; rational pricing competition across the sector.</w:t>
            </w:r>
          </w:p>
        </w:tc>
        <w:tc>
          <w:tcPr>
            <w:tcW w:type="dxa" w:w="1728"/>
          </w:tcPr>
          <w:p>
            <w:r>
              <w:rPr>
                <w:rFonts w:ascii="Calibri" w:hAnsi="Calibri"/>
                <w:sz w:val="22"/>
              </w:rPr>
              <w:t>KEY's specific decision to use wholesale funding to fill seasonal gap; KEY's 56% cumulative deposit beta.</w:t>
            </w:r>
          </w:p>
        </w:tc>
      </w:tr>
      <w:tr>
        <w:tc>
          <w:tcPr>
            <w:tcW w:type="dxa" w:w="1728"/>
          </w:tcPr>
          <w:p>
            <w:r>
              <w:rPr>
                <w:rFonts w:ascii="Calibri" w:hAnsi="Calibri"/>
                <w:sz w:val="22"/>
              </w:rPr>
              <w:t>Bank of America (BAC)</w:t>
            </w:r>
          </w:p>
        </w:tc>
        <w:tc>
          <w:tcPr>
            <w:tcW w:type="dxa" w:w="1728"/>
          </w:tcPr>
          <w:p>
            <w:r>
              <w:rPr>
                <w:rFonts w:ascii="Calibri" w:hAnsi="Calibri"/>
                <w:sz w:val="22"/>
              </w:rPr>
              <w:t>Consumer deposits at 48 bps; modestly lower QoQ</w:t>
            </w:r>
          </w:p>
        </w:tc>
        <w:tc>
          <w:tcPr>
            <w:tcW w:type="dxa" w:w="1728"/>
          </w:tcPr>
          <w:p>
            <w:r>
              <w:rPr>
                <w:rFonts w:ascii="Calibri" w:hAnsi="Calibri"/>
                <w:sz w:val="22"/>
              </w:rPr>
              <w:t>NIB growing +4% YoY (12th consecutive quarter)</w:t>
            </w:r>
          </w:p>
        </w:tc>
        <w:tc>
          <w:tcPr>
            <w:tcW w:type="dxa" w:w="1728"/>
          </w:tcPr>
          <w:p>
            <w:r>
              <w:rPr>
                <w:rFonts w:ascii="Calibri" w:hAnsi="Calibri"/>
                <w:sz w:val="22"/>
              </w:rPr>
              <w:t>NIB deposit growth is achievable even in a competitive environment; relationship-based deposit strategy (not chasing rate-sensitive balances) is a sector-wide best practice; consumer deposit costs declining.</w:t>
            </w:r>
          </w:p>
        </w:tc>
        <w:tc>
          <w:tcPr>
            <w:tcW w:type="dxa" w:w="1728"/>
          </w:tcPr>
          <w:p>
            <w:r>
              <w:rPr>
                <w:rFonts w:ascii="Calibri" w:hAnsi="Calibri"/>
                <w:sz w:val="22"/>
              </w:rPr>
              <w:t>BAC's scale ($2T deposits); BAC's specific global banking deposit growth of 8% YoY.</w:t>
            </w:r>
          </w:p>
        </w:tc>
      </w:tr>
      <w:tr>
        <w:tc>
          <w:tcPr>
            <w:tcW w:type="dxa" w:w="1728"/>
          </w:tcPr>
          <w:p>
            <w:r>
              <w:rPr>
                <w:rFonts w:ascii="Calibri" w:hAnsi="Calibri"/>
                <w:sz w:val="22"/>
              </w:rPr>
              <w:t>Wells Fargo (WFC)</w:t>
            </w:r>
          </w:p>
        </w:tc>
        <w:tc>
          <w:tcPr>
            <w:tcW w:type="dxa" w:w="1728"/>
          </w:tcPr>
          <w:p>
            <w:r>
              <w:rPr>
                <w:rFonts w:ascii="Calibri" w:hAnsi="Calibri"/>
                <w:sz w:val="22"/>
              </w:rPr>
              <w:t>Deposit costs expected to inch up slightly in H2 (mix shift to IB)</w:t>
            </w:r>
          </w:p>
        </w:tc>
        <w:tc>
          <w:tcPr>
            <w:tcW w:type="dxa" w:w="1728"/>
          </w:tcPr>
          <w:p>
            <w:r>
              <w:rPr>
                <w:rFonts w:ascii="Calibri" w:hAnsi="Calibri"/>
                <w:sz w:val="22"/>
              </w:rPr>
              <w:t>NIB stable (originally expected to grow)</w:t>
            </w:r>
          </w:p>
        </w:tc>
        <w:tc>
          <w:tcPr>
            <w:tcW w:type="dxa" w:w="1728"/>
          </w:tcPr>
          <w:p>
            <w:r>
              <w:rPr>
                <w:rFonts w:ascii="Calibri" w:hAnsi="Calibri"/>
                <w:sz w:val="22"/>
              </w:rPr>
              <w:t>Mix shift from NIB to interest-bearing deposits is a sector-wide dynamic; growing IB deposits deepens relationships and can attract NIB over time; competitive pricing environment is rational but not deteriorating.</w:t>
            </w:r>
          </w:p>
        </w:tc>
        <w:tc>
          <w:tcPr>
            <w:tcW w:type="dxa" w:w="1728"/>
          </w:tcPr>
          <w:p>
            <w:r>
              <w:rPr>
                <w:rFonts w:ascii="Calibri" w:hAnsi="Calibri"/>
                <w:sz w:val="22"/>
              </w:rPr>
              <w:t>WFC's specific CIB/Commercial Bank mix shift; WFC's asset cap constraints; WFC's 13 consecutive quarters of consumer primary checking growth.</w:t>
            </w:r>
          </w:p>
        </w:tc>
      </w:tr>
    </w:tbl>
    <w:p>
      <w:r>
        <w:rPr>
          <w:rFonts w:ascii="Calibri" w:hAnsi="Calibri"/>
          <w:b/>
          <w:color w:val="525866"/>
          <w:sz w:val="22"/>
        </w:rPr>
        <w:t xml:space="preserve">HBAN Read-Through (Deposits): </w:t>
      </w:r>
      <w:r>
        <w:rPr>
          <w:rFonts w:ascii="Calibri" w:hAnsi="Calibri"/>
          <w:color w:val="525866"/>
          <w:sz w:val="22"/>
        </w:rPr>
        <w:t>The sector-wide picture on deposits is constructive: costs are declining or stable, NIB mixes are holding, and competitive pricing is described as rational. This is directly supportive of HBAN's guided deposit cost improvement trajectory. The BAC/WFC commentary on NIB deposit growth being achievable through relationship banking (not rate competition) is consistent with HBAN's primary banking strategy. The WFC caution on NIB being stable rather than growing is a mild sector-level watch item, but HBAN's Cadence integration provides an incremental deposit growth opportunity that peers do not have. Sources: RF Q2 2026 Earnings Call; KEY Q2 2026 Earnings Call; BAC Q2 2026 Earnings Call (bank_2Q_deposit Commentary); WFC Q2 2026 Earnings Call (bank_2Q_deposit Commentary).</w:t>
      </w:r>
    </w:p>
    <w:p>
      <w:pPr>
        <w:pStyle w:val="Heading3"/>
      </w:pPr>
      <w:r>
        <w:rPr>
          <w:rFonts w:ascii="Calibri" w:hAnsi="Calibri"/>
          <w:b/>
          <w:color w:val="3B4259"/>
          <w:sz w:val="24"/>
        </w:rPr>
        <w:t>8.4 Fee Income (Capital Markets, Wealth, Payments)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Fee Income Trend</w:t>
            </w:r>
          </w:p>
        </w:tc>
        <w:tc>
          <w:tcPr>
            <w:tcW w:type="dxa" w:w="2160"/>
            <w:shd w:val="clear" w:color="auto" w:fill="3B4259"/>
          </w:tcPr>
          <w:p>
            <w:r>
              <w:rPr>
                <w:rFonts w:ascii="Calibri" w:hAnsi="Calibri"/>
                <w:b/>
                <w:color w:val="FFFFFF"/>
                <w:sz w:val="22"/>
              </w:rPr>
              <w:t>Sector Read-Through for HBAN</w:t>
            </w:r>
          </w:p>
        </w:tc>
        <w:tc>
          <w:tcPr>
            <w:tcW w:type="dxa" w:w="2160"/>
            <w:shd w:val="clear" w:color="auto" w:fill="3B4259"/>
          </w:tcPr>
          <w:p>
            <w:r>
              <w:rPr>
                <w:rFonts w:ascii="Calibri" w:hAnsi="Calibri"/>
                <w:b/>
                <w:color w:val="FFFFFF"/>
                <w:sz w:val="22"/>
              </w:rPr>
              <w:t>Company-Specific (Exclude)</w:t>
            </w:r>
          </w:p>
        </w:tc>
      </w:tr>
      <w:tr>
        <w:tc>
          <w:tcPr>
            <w:tcW w:type="dxa" w:w="2160"/>
          </w:tcPr>
          <w:p>
            <w:r>
              <w:rPr>
                <w:rFonts w:ascii="Calibri" w:hAnsi="Calibri"/>
                <w:sz w:val="22"/>
              </w:rPr>
              <w:t>Regions Financial (RF)</w:t>
            </w:r>
          </w:p>
        </w:tc>
        <w:tc>
          <w:tcPr>
            <w:tcW w:type="dxa" w:w="2160"/>
          </w:tcPr>
          <w:p>
            <w:r>
              <w:rPr>
                <w:rFonts w:ascii="Calibri" w:hAnsi="Calibri"/>
                <w:sz w:val="22"/>
              </w:rPr>
              <w:t>Adj. non-int. income +7% QoQ; wealth record quarter (+6%); card/ATM +8%</w:t>
            </w:r>
          </w:p>
        </w:tc>
        <w:tc>
          <w:tcPr>
            <w:tcW w:type="dxa" w:w="2160"/>
          </w:tcPr>
          <w:p>
            <w:r>
              <w:rPr>
                <w:rFonts w:ascii="Calibri" w:hAnsi="Calibri"/>
                <w:sz w:val="22"/>
              </w:rPr>
              <w:t>Wealth management delivering record quarters; card/ATM fees benefiting from seasonal transaction volumes; capital markets income impacted by higher long-term rates but diversified (loan syndications, M&amp;A advisory, real estate CM).</w:t>
            </w:r>
          </w:p>
        </w:tc>
        <w:tc>
          <w:tcPr>
            <w:tcW w:type="dxa" w:w="2160"/>
          </w:tcPr>
          <w:p>
            <w:r>
              <w:rPr>
                <w:rFonts w:ascii="Calibri" w:hAnsi="Calibri"/>
                <w:sz w:val="22"/>
              </w:rPr>
              <w:t>RF's specific capital markets revenue range ($90–$105M); RF's Fraser Veneer acquisition for municipal finance.</w:t>
            </w:r>
          </w:p>
        </w:tc>
      </w:tr>
      <w:tr>
        <w:tc>
          <w:tcPr>
            <w:tcW w:type="dxa" w:w="2160"/>
          </w:tcPr>
          <w:p>
            <w:r>
              <w:rPr>
                <w:rFonts w:ascii="Calibri" w:hAnsi="Calibri"/>
                <w:sz w:val="22"/>
              </w:rPr>
              <w:t>KeyCorp (KEY)</w:t>
            </w:r>
          </w:p>
        </w:tc>
        <w:tc>
          <w:tcPr>
            <w:tcW w:type="dxa" w:w="2160"/>
          </w:tcPr>
          <w:p>
            <w:r>
              <w:rPr>
                <w:rFonts w:ascii="Calibri" w:hAnsi="Calibri"/>
                <w:sz w:val="22"/>
              </w:rPr>
              <w:t>Priority fee businesses (IB, commercial payments, wealth) +8% H1 YoY; IB fees $169M in Q2; wealth AUM record $74B</w:t>
            </w:r>
          </w:p>
        </w:tc>
        <w:tc>
          <w:tcPr>
            <w:tcW w:type="dxa" w:w="2160"/>
          </w:tcPr>
          <w:p>
            <w:r>
              <w:rPr>
                <w:rFonts w:ascii="Calibri" w:hAnsi="Calibri"/>
                <w:sz w:val="22"/>
              </w:rPr>
              <w:t>Investment banking pipelines up 9% QoQ at historically elevated levels; M&amp;A pipelines at record; middle-market M&amp;A activity lagging large-cap but expected to normalize; commercial payments growing 12% YoY; wealth AUM at records.</w:t>
            </w:r>
          </w:p>
        </w:tc>
        <w:tc>
          <w:tcPr>
            <w:tcW w:type="dxa" w:w="2160"/>
          </w:tcPr>
          <w:p>
            <w:r>
              <w:rPr>
                <w:rFonts w:ascii="Calibri" w:hAnsi="Calibri"/>
                <w:sz w:val="22"/>
              </w:rPr>
              <w:t>KEY's specific IB fee dollar amounts; KEY's 40% private equity fee dependency; KEY's Clearwater UK acquisition.</w:t>
            </w:r>
          </w:p>
        </w:tc>
      </w:tr>
      <w:tr>
        <w:tc>
          <w:tcPr>
            <w:tcW w:type="dxa" w:w="2160"/>
          </w:tcPr>
          <w:p>
            <w:r>
              <w:rPr>
                <w:rFonts w:ascii="Calibri" w:hAnsi="Calibri"/>
                <w:sz w:val="22"/>
              </w:rPr>
              <w:t>Citizens Financial (CFG)</w:t>
            </w:r>
          </w:p>
        </w:tc>
        <w:tc>
          <w:tcPr>
            <w:tcW w:type="dxa" w:w="2160"/>
          </w:tcPr>
          <w:p>
            <w:r>
              <w:rPr>
                <w:rFonts w:ascii="Calibri" w:hAnsi="Calibri"/>
                <w:sz w:val="22"/>
              </w:rPr>
              <w:t>Non-int. income +8% QoQ, +9% YoY; capital markets strongest Q2 ever (+14% QoQ, +46% YoY); wealth record quarter (+2% QoQ, +16% YoY)</w:t>
            </w:r>
          </w:p>
        </w:tc>
        <w:tc>
          <w:tcPr>
            <w:tcW w:type="dxa" w:w="2160"/>
          </w:tcPr>
          <w:p>
            <w:r>
              <w:rPr>
                <w:rFonts w:ascii="Calibri" w:hAnsi="Calibri"/>
                <w:sz w:val="22"/>
              </w:rPr>
              <w:t>Capital markets momentum is strong across loan syndications, bond underwriting, and M&amp;A; wealth management delivering record quarters driven by AUM growth and market conditions; M&amp;A pipeline strong and building; middle-market M&amp;A expected to pick up in Q4 2026 and into 2027.</w:t>
            </w:r>
          </w:p>
        </w:tc>
        <w:tc>
          <w:tcPr>
            <w:tcW w:type="dxa" w:w="2160"/>
          </w:tcPr>
          <w:p>
            <w:r>
              <w:rPr>
                <w:rFonts w:ascii="Calibri" w:hAnsi="Calibri"/>
                <w:sz w:val="22"/>
              </w:rPr>
              <w:t>CFG's specific capital markets ranking as #2 middle-market sponsored bookrunner; CFG's private bank wealth AUM; CFG's 'Reimagined the Bank' program.</w:t>
            </w:r>
          </w:p>
        </w:tc>
      </w:tr>
    </w:tbl>
    <w:p>
      <w:r>
        <w:rPr>
          <w:rFonts w:ascii="Calibri" w:hAnsi="Calibri"/>
          <w:b/>
          <w:color w:val="525866"/>
          <w:sz w:val="22"/>
        </w:rPr>
        <w:t xml:space="preserve">HBAN Read-Through (Fee Income): </w:t>
      </w:r>
      <w:r>
        <w:rPr>
          <w:rFonts w:ascii="Calibri" w:hAnsi="Calibri"/>
          <w:color w:val="525866"/>
          <w:sz w:val="22"/>
        </w:rPr>
        <w:t>This is the most important positive read-through for HBAN. Peers universally reported strong fee income quarters — capital markets at or near records, wealth management at records, and commercial payments growing double-digits. HBAN management raised fee guidance by 4 percentage points at Q1 earnings (to 31–33% growth) and described capital markets as having its "strongest revenue quarter on record" in Q1. The peer evidence strongly supports continued fee income momentum in Q2, with capital markets pipelines at historically elevated levels and M&amp;A activity building. HBAN's capital markets business is particularly well-positioned given its new Texas and Southern market presence and the Cadence/Veritex revenue synergy pipeline. Sources: RF Q2 2026 Earnings Call; KEY Q2 2026 Earnings Call; CFG Q2 2026 Earnings Call.</w:t>
      </w:r>
    </w:p>
    <w:p>
      <w:pPr>
        <w:pStyle w:val="Heading3"/>
      </w:pPr>
      <w:r>
        <w:rPr>
          <w:rFonts w:ascii="Calibri" w:hAnsi="Calibri"/>
          <w:b/>
          <w:color w:val="3B4259"/>
          <w:sz w:val="24"/>
        </w:rPr>
        <w:t>8.5 Expenses &amp; Operating Leverage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Expense Trend</w:t>
            </w:r>
          </w:p>
        </w:tc>
        <w:tc>
          <w:tcPr>
            <w:tcW w:type="dxa" w:w="2160"/>
            <w:shd w:val="clear" w:color="auto" w:fill="3B4259"/>
          </w:tcPr>
          <w:p>
            <w:r>
              <w:rPr>
                <w:rFonts w:ascii="Calibri" w:hAnsi="Calibri"/>
                <w:b/>
                <w:color w:val="FFFFFF"/>
                <w:sz w:val="22"/>
              </w:rPr>
              <w:t>Operating Leverage</w:t>
            </w:r>
          </w:p>
        </w:tc>
        <w:tc>
          <w:tcPr>
            <w:tcW w:type="dxa" w:w="2160"/>
            <w:shd w:val="clear" w:color="auto" w:fill="3B4259"/>
          </w:tcPr>
          <w:p>
            <w:r>
              <w:rPr>
                <w:rFonts w:ascii="Calibri" w:hAnsi="Calibri"/>
                <w:b/>
                <w:color w:val="FFFFFF"/>
                <w:sz w:val="22"/>
              </w:rPr>
              <w:t>Sector Read-Through for HBAN</w:t>
            </w:r>
          </w:p>
        </w:tc>
      </w:tr>
      <w:tr>
        <w:tc>
          <w:tcPr>
            <w:tcW w:type="dxa" w:w="2160"/>
          </w:tcPr>
          <w:p>
            <w:r>
              <w:rPr>
                <w:rFonts w:ascii="Calibri" w:hAnsi="Calibri"/>
                <w:sz w:val="22"/>
              </w:rPr>
              <w:t>Regions Financial (RF)</w:t>
            </w:r>
          </w:p>
        </w:tc>
        <w:tc>
          <w:tcPr>
            <w:tcW w:type="dxa" w:w="2160"/>
          </w:tcPr>
          <w:p>
            <w:r>
              <w:rPr>
                <w:rFonts w:ascii="Calibri" w:hAnsi="Calibri"/>
                <w:sz w:val="22"/>
              </w:rPr>
              <w:t>Adj. non-int. expense +4% QoQ; FY guide: +1.5% to +3.5%</w:t>
            </w:r>
          </w:p>
        </w:tc>
        <w:tc>
          <w:tcPr>
            <w:tcW w:type="dxa" w:w="2160"/>
          </w:tcPr>
          <w:p>
            <w:r>
              <w:rPr>
                <w:rFonts w:ascii="Calibri" w:hAnsi="Calibri"/>
                <w:sz w:val="22"/>
              </w:rPr>
              <w:t>Positive operating leverage expected for FY</w:t>
            </w:r>
          </w:p>
        </w:tc>
        <w:tc>
          <w:tcPr>
            <w:tcW w:type="dxa" w:w="2160"/>
          </w:tcPr>
          <w:p>
            <w:r>
              <w:rPr>
                <w:rFonts w:ascii="Calibri" w:hAnsi="Calibri"/>
                <w:sz w:val="22"/>
              </w:rPr>
              <w:t>Expense growth driven by revenue-based incentives and franchise investment is a common theme; positive operating leverage is achievable even with investment spending.</w:t>
            </w:r>
          </w:p>
        </w:tc>
      </w:tr>
      <w:tr>
        <w:tc>
          <w:tcPr>
            <w:tcW w:type="dxa" w:w="2160"/>
          </w:tcPr>
          <w:p>
            <w:r>
              <w:rPr>
                <w:rFonts w:ascii="Calibri" w:hAnsi="Calibri"/>
                <w:sz w:val="22"/>
              </w:rPr>
              <w:t>KeyCorp (KEY)</w:t>
            </w:r>
          </w:p>
        </w:tc>
        <w:tc>
          <w:tcPr>
            <w:tcW w:type="dxa" w:w="2160"/>
          </w:tcPr>
          <w:p>
            <w:r>
              <w:rPr>
                <w:rFonts w:ascii="Calibri" w:hAnsi="Calibri"/>
                <w:sz w:val="22"/>
              </w:rPr>
              <w:t>Non-int. expense +3% QoQ, +5% YoY; FY guide: +3% to +4%</w:t>
            </w:r>
          </w:p>
        </w:tc>
        <w:tc>
          <w:tcPr>
            <w:tcW w:type="dxa" w:w="2160"/>
          </w:tcPr>
          <w:p>
            <w:r>
              <w:rPr>
                <w:rFonts w:ascii="Calibri" w:hAnsi="Calibri"/>
                <w:sz w:val="22"/>
              </w:rPr>
              <w:t>Revenue expected to grow 2x expenses in 2026</w:t>
            </w:r>
          </w:p>
        </w:tc>
        <w:tc>
          <w:tcPr>
            <w:tcW w:type="dxa" w:w="2160"/>
          </w:tcPr>
          <w:p>
            <w:r>
              <w:rPr>
                <w:rFonts w:ascii="Calibri" w:hAnsi="Calibri"/>
                <w:sz w:val="22"/>
              </w:rPr>
              <w:t>Expense growth driven by frontline banker investment and incentive compensation tied to fee revenue; substantial positive operating leverage is achievable; expenses expected to pick up modestly in H2 due to investments and seasonal fees.</w:t>
            </w:r>
          </w:p>
        </w:tc>
      </w:tr>
      <w:tr>
        <w:tc>
          <w:tcPr>
            <w:tcW w:type="dxa" w:w="2160"/>
          </w:tcPr>
          <w:p>
            <w:r>
              <w:rPr>
                <w:rFonts w:ascii="Calibri" w:hAnsi="Calibri"/>
                <w:sz w:val="22"/>
              </w:rPr>
              <w:t>Citizens Financial (CFG)</w:t>
            </w:r>
          </w:p>
        </w:tc>
        <w:tc>
          <w:tcPr>
            <w:tcW w:type="dxa" w:w="2160"/>
          </w:tcPr>
          <w:p>
            <w:r>
              <w:rPr>
                <w:rFonts w:ascii="Calibri" w:hAnsi="Calibri"/>
                <w:sz w:val="22"/>
              </w:rPr>
              <w:t>Expenses +1% QoQ; efficiency ratio improved to 61%</w:t>
            </w:r>
          </w:p>
        </w:tc>
        <w:tc>
          <w:tcPr>
            <w:tcW w:type="dxa" w:w="2160"/>
          </w:tcPr>
          <w:p>
            <w:r>
              <w:rPr>
                <w:rFonts w:ascii="Calibri" w:hAnsi="Calibri"/>
                <w:sz w:val="22"/>
              </w:rPr>
              <w:t>&gt;600 bps positive operating leverage YoY</w:t>
            </w:r>
          </w:p>
        </w:tc>
        <w:tc>
          <w:tcPr>
            <w:tcW w:type="dxa" w:w="2160"/>
          </w:tcPr>
          <w:p>
            <w:r>
              <w:rPr>
                <w:rFonts w:ascii="Calibri" w:hAnsi="Calibri"/>
                <w:sz w:val="22"/>
              </w:rPr>
              <w:t>Tight expense management with improving efficiency ratios is achievable alongside strategic investment; 600+ bps of operating leverage demonstrates the power of revenue growth outpacing expenses.</w:t>
            </w:r>
          </w:p>
        </w:tc>
      </w:tr>
    </w:tbl>
    <w:p>
      <w:r>
        <w:rPr>
          <w:rFonts w:ascii="Calibri" w:hAnsi="Calibri"/>
          <w:b/>
          <w:color w:val="525866"/>
          <w:sz w:val="22"/>
        </w:rPr>
        <w:t xml:space="preserve">HBAN Read-Through (Expenses/Operating Leverage): </w:t>
      </w:r>
      <w:r>
        <w:rPr>
          <w:rFonts w:ascii="Calibri" w:hAnsi="Calibri"/>
          <w:color w:val="525866"/>
          <w:sz w:val="22"/>
        </w:rPr>
        <w:t>Peers are delivering positive operating leverage with expense growth in the 1–5% range — consistent with HBAN's guided 400–450 bps of operating leverage for FY 2026. HBAN has a unique additional lever that peers do not: the $435M cumulative cost synergy run-rate from Cadence and Veritex that will be fully reflected in Q4 2026, providing a step-change in efficiency ratio improvement (from ~69% in Q1 to guided mid-low 54% in Q4). The sector evidence confirms that positive operating leverage is achievable in the current environment. Sources: RF Q2 2026 Earnings Call; KEY Q2 2026 Earnings Call; CFG Q2 2026 Earnings Call.</w:t>
      </w:r>
    </w:p>
    <w:p>
      <w:pPr>
        <w:pStyle w:val="Heading3"/>
      </w:pPr>
      <w:r>
        <w:rPr>
          <w:rFonts w:ascii="Calibri" w:hAnsi="Calibri"/>
          <w:b/>
          <w:color w:val="3B4259"/>
          <w:sz w:val="24"/>
        </w:rPr>
        <w:t>8.6 Capital &amp; Macro Environment</w:t>
      </w:r>
    </w:p>
    <w:p>
      <w:r>
        <w:rPr>
          <w:rFonts w:ascii="Calibri" w:hAnsi="Calibri"/>
          <w:b/>
          <w:color w:val="525866"/>
          <w:sz w:val="22"/>
        </w:rPr>
        <w:t xml:space="preserve">Capital: </w:t>
      </w:r>
      <w:r>
        <w:rPr>
          <w:rFonts w:ascii="Calibri" w:hAnsi="Calibri"/>
          <w:color w:val="525866"/>
          <w:sz w:val="22"/>
        </w:rPr>
        <w:t>Peers reported strong capital positions with CET1 ratios of 10.4–11.2%, all at or above targets. KEY noted potential for ~100 bps of additional capital from Basel III endgame (consistent with HBAN's ~80 bps estimate). RF's stress capital buffer improved to the 2.5% regulatory floor, and CFG's SCB also improved to the minimum — a sector-wide positive that reduces regulatory capital drag. RF increased its quarterly common dividend by 13%, signaling confidence in earnings power. These are all positive read-throughs for HBAN's capital return story and Basel III endgame opportunity.</w:t>
      </w:r>
    </w:p>
    <w:p>
      <w:r>
        <w:rPr>
          <w:rFonts w:ascii="Calibri" w:hAnsi="Calibri"/>
          <w:b/>
          <w:color w:val="525866"/>
          <w:sz w:val="22"/>
        </w:rPr>
        <w:t xml:space="preserve">Macro Environment: </w:t>
      </w:r>
      <w:r>
        <w:rPr>
          <w:rFonts w:ascii="Calibri" w:hAnsi="Calibri"/>
          <w:color w:val="525866"/>
          <w:sz w:val="22"/>
        </w:rPr>
        <w:t>All peers described the operating environment as "solid" (RF), with economic activity healthy, businesses well-positioned, and consumer spending trends stable. RF specifically noted: "economic activity solid and despite ongoing uncertainty, businesses are generally well positioned and we continue to see steady levels of investment and job growth across our markets." KEY highlighted AI-driven demand for electrical infrastructure as a new lending opportunity. CFG described commercial loan pipelines as "pretty diversified" with expectations for continued growth. This sector-wide macro commentary is directly consistent with HBAN CFO Wasserman's June 9 statement that the environment is "more favorable than when we were sitting in April" — and provides independent corroboration that the macro backdrop for Q2 was supportive. Sources: RF Q2 2026 Earnings Call; KEY Q2 2026 Earnings Call; CFG Q2 2026 Earnings Call.</w:t>
      </w:r>
    </w:p>
    <w:p>
      <w:pPr>
        <w:pStyle w:val="Heading3"/>
      </w:pPr>
      <w:r>
        <w:rPr>
          <w:rFonts w:ascii="Calibri" w:hAnsi="Calibri"/>
          <w:b/>
          <w:color w:val="3B4259"/>
          <w:sz w:val="24"/>
        </w:rPr>
        <w:t>8.7 Peer Commentary Summary — HBAN Implications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 (Q2 2026)</w:t>
            </w:r>
          </w:p>
        </w:tc>
        <w:tc>
          <w:tcPr>
            <w:tcW w:type="dxa" w:w="2160"/>
            <w:shd w:val="clear" w:color="auto" w:fill="3B4259"/>
          </w:tcPr>
          <w:p>
            <w:r>
              <w:rPr>
                <w:rFonts w:ascii="Calibri" w:hAnsi="Calibri"/>
                <w:b/>
                <w:color w:val="FFFFFF"/>
                <w:sz w:val="22"/>
              </w:rPr>
              <w:t>HBAN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NII / NIM</w:t>
            </w:r>
          </w:p>
        </w:tc>
        <w:tc>
          <w:tcPr>
            <w:tcW w:type="dxa" w:w="2160"/>
          </w:tcPr>
          <w:p>
            <w:r>
              <w:rPr>
                <w:rFonts w:ascii="Calibri" w:hAnsi="Calibri"/>
                <w:sz w:val="22"/>
              </w:rPr>
              <w:t>All peers: sequential NII growth +2–4%; NIM expanding or stable</w:t>
            </w:r>
          </w:p>
        </w:tc>
        <w:tc>
          <w:tcPr>
            <w:tcW w:type="dxa" w:w="2160"/>
          </w:tcPr>
          <w:p>
            <w:r>
              <w:rPr>
                <w:rFonts w:ascii="Calibri" w:hAnsi="Calibri"/>
                <w:sz w:val="22"/>
              </w:rPr>
              <w:t>Supports HBAN's guided NIM trajectory; Cadence deposit optimization adds incremental tailwind</w:t>
            </w:r>
          </w:p>
        </w:tc>
        <w:tc>
          <w:tcPr>
            <w:tcW w:type="dxa" w:w="2160"/>
          </w:tcPr>
          <w:p>
            <w:r>
              <w:rPr>
                <w:rFonts w:ascii="Calibri" w:hAnsi="Calibri"/>
                <w:b/>
                <w:color w:val="30A46C"/>
                <w:sz w:val="22"/>
              </w:rPr>
              <w:t>Positive</w:t>
            </w:r>
          </w:p>
        </w:tc>
      </w:tr>
      <w:tr>
        <w:tc>
          <w:tcPr>
            <w:tcW w:type="dxa" w:w="2160"/>
          </w:tcPr>
          <w:p>
            <w:r>
              <w:rPr>
                <w:rFonts w:ascii="Calibri" w:hAnsi="Calibri"/>
                <w:sz w:val="22"/>
              </w:rPr>
              <w:t>Loan Growth</w:t>
            </w:r>
          </w:p>
        </w:tc>
        <w:tc>
          <w:tcPr>
            <w:tcW w:type="dxa" w:w="2160"/>
          </w:tcPr>
          <w:p>
            <w:r>
              <w:rPr>
                <w:rFonts w:ascii="Calibri" w:hAnsi="Calibri"/>
                <w:sz w:val="22"/>
              </w:rPr>
              <w:t>Broad-based C&amp;I growth; line utilization improving; pipelines strong</w:t>
            </w:r>
          </w:p>
        </w:tc>
        <w:tc>
          <w:tcPr>
            <w:tcW w:type="dxa" w:w="2160"/>
          </w:tcPr>
          <w:p>
            <w:r>
              <w:rPr>
                <w:rFonts w:ascii="Calibri" w:hAnsi="Calibri"/>
                <w:sz w:val="22"/>
              </w:rPr>
              <w:t>Consistent with HBAN's midpoint loan growth guide; specialty verticals and Texas provide incremental upside</w:t>
            </w:r>
          </w:p>
        </w:tc>
        <w:tc>
          <w:tcPr>
            <w:tcW w:type="dxa" w:w="2160"/>
          </w:tcPr>
          <w:p>
            <w:r>
              <w:rPr>
                <w:rFonts w:ascii="Calibri" w:hAnsi="Calibri"/>
                <w:b/>
                <w:color w:val="30A46C"/>
                <w:sz w:val="22"/>
              </w:rPr>
              <w:t>Positive</w:t>
            </w:r>
          </w:p>
        </w:tc>
      </w:tr>
      <w:tr>
        <w:tc>
          <w:tcPr>
            <w:tcW w:type="dxa" w:w="2160"/>
          </w:tcPr>
          <w:p>
            <w:r>
              <w:rPr>
                <w:rFonts w:ascii="Calibri" w:hAnsi="Calibri"/>
                <w:sz w:val="22"/>
              </w:rPr>
              <w:t>Credit Quality</w:t>
            </w:r>
          </w:p>
        </w:tc>
        <w:tc>
          <w:tcPr>
            <w:tcW w:type="dxa" w:w="2160"/>
          </w:tcPr>
          <w:p>
            <w:r>
              <w:rPr>
                <w:rFonts w:ascii="Calibri" w:hAnsi="Calibri"/>
                <w:sz w:val="22"/>
              </w:rPr>
              <w:t>NCOs 37–42 bps; credit largely normalized; idiosyncratic NPL increases, not systemic</w:t>
            </w:r>
          </w:p>
        </w:tc>
        <w:tc>
          <w:tcPr>
            <w:tcW w:type="dxa" w:w="2160"/>
          </w:tcPr>
          <w:p>
            <w:r>
              <w:rPr>
                <w:rFonts w:ascii="Calibri" w:hAnsi="Calibri"/>
                <w:sz w:val="22"/>
              </w:rPr>
              <w:t>HBAN's 25–35 bps NCO guide looks conservative vs. peers; credit environment supportive</w:t>
            </w:r>
          </w:p>
        </w:tc>
        <w:tc>
          <w:tcPr>
            <w:tcW w:type="dxa" w:w="2160"/>
          </w:tcPr>
          <w:p>
            <w:r>
              <w:rPr>
                <w:rFonts w:ascii="Calibri" w:hAnsi="Calibri"/>
                <w:b/>
                <w:color w:val="30A46C"/>
                <w:sz w:val="22"/>
              </w:rPr>
              <w:t>Positive</w:t>
            </w:r>
          </w:p>
        </w:tc>
      </w:tr>
      <w:tr>
        <w:tc>
          <w:tcPr>
            <w:tcW w:type="dxa" w:w="2160"/>
          </w:tcPr>
          <w:p>
            <w:r>
              <w:rPr>
                <w:rFonts w:ascii="Calibri" w:hAnsi="Calibri"/>
                <w:sz w:val="22"/>
              </w:rPr>
              <w:t>Deposit Costs</w:t>
            </w:r>
          </w:p>
        </w:tc>
        <w:tc>
          <w:tcPr>
            <w:tcW w:type="dxa" w:w="2160"/>
          </w:tcPr>
          <w:p>
            <w:r>
              <w:rPr>
                <w:rFonts w:ascii="Calibri" w:hAnsi="Calibri"/>
                <w:sz w:val="22"/>
              </w:rPr>
              <w:t>Costs declining or stable; NIB mix holding; competitive but rational pricing</w:t>
            </w:r>
          </w:p>
        </w:tc>
        <w:tc>
          <w:tcPr>
            <w:tcW w:type="dxa" w:w="2160"/>
          </w:tcPr>
          <w:p>
            <w:r>
              <w:rPr>
                <w:rFonts w:ascii="Calibri" w:hAnsi="Calibri"/>
                <w:sz w:val="22"/>
              </w:rPr>
              <w:t>Supports HBAN's deposit cost improvement trajectory; Cadence optimization adds incremental benefit</w:t>
            </w:r>
          </w:p>
        </w:tc>
        <w:tc>
          <w:tcPr>
            <w:tcW w:type="dxa" w:w="2160"/>
          </w:tcPr>
          <w:p>
            <w:r>
              <w:rPr>
                <w:rFonts w:ascii="Calibri" w:hAnsi="Calibri"/>
                <w:b/>
                <w:color w:val="30A46C"/>
                <w:sz w:val="22"/>
              </w:rPr>
              <w:t>Positive</w:t>
            </w:r>
          </w:p>
        </w:tc>
      </w:tr>
      <w:tr>
        <w:tc>
          <w:tcPr>
            <w:tcW w:type="dxa" w:w="2160"/>
          </w:tcPr>
          <w:p>
            <w:r>
              <w:rPr>
                <w:rFonts w:ascii="Calibri" w:hAnsi="Calibri"/>
                <w:sz w:val="22"/>
              </w:rPr>
              <w:t>Fee Income</w:t>
            </w:r>
          </w:p>
        </w:tc>
        <w:tc>
          <w:tcPr>
            <w:tcW w:type="dxa" w:w="2160"/>
          </w:tcPr>
          <w:p>
            <w:r>
              <w:rPr>
                <w:rFonts w:ascii="Calibri" w:hAnsi="Calibri"/>
                <w:sz w:val="22"/>
              </w:rPr>
              <w:t>Capital markets at/near records; wealth at records; commercial payments +8–12% YoY</w:t>
            </w:r>
          </w:p>
        </w:tc>
        <w:tc>
          <w:tcPr>
            <w:tcW w:type="dxa" w:w="2160"/>
          </w:tcPr>
          <w:p>
            <w:r>
              <w:rPr>
                <w:rFonts w:ascii="Calibri" w:hAnsi="Calibri"/>
                <w:sz w:val="22"/>
              </w:rPr>
              <w:t>Strongest positive read-through; HBAN's raised fee guidance (31–33%) looks achievable or beatable</w:t>
            </w:r>
          </w:p>
        </w:tc>
        <w:tc>
          <w:tcPr>
            <w:tcW w:type="dxa" w:w="2160"/>
          </w:tcPr>
          <w:p>
            <w:r>
              <w:rPr>
                <w:rFonts w:ascii="Calibri" w:hAnsi="Calibri"/>
                <w:b/>
                <w:color w:val="30A46C"/>
                <w:sz w:val="22"/>
              </w:rPr>
              <w:t>Positive</w:t>
            </w:r>
          </w:p>
        </w:tc>
      </w:tr>
      <w:tr>
        <w:tc>
          <w:tcPr>
            <w:tcW w:type="dxa" w:w="2160"/>
          </w:tcPr>
          <w:p>
            <w:r>
              <w:rPr>
                <w:rFonts w:ascii="Calibri" w:hAnsi="Calibri"/>
                <w:sz w:val="22"/>
              </w:rPr>
              <w:t>Operating Leverage</w:t>
            </w:r>
          </w:p>
        </w:tc>
        <w:tc>
          <w:tcPr>
            <w:tcW w:type="dxa" w:w="2160"/>
          </w:tcPr>
          <w:p>
            <w:r>
              <w:rPr>
                <w:rFonts w:ascii="Calibri" w:hAnsi="Calibri"/>
                <w:sz w:val="22"/>
              </w:rPr>
              <w:t>All peers delivering positive operating leverage; efficiency ratios improving</w:t>
            </w:r>
          </w:p>
        </w:tc>
        <w:tc>
          <w:tcPr>
            <w:tcW w:type="dxa" w:w="2160"/>
          </w:tcPr>
          <w:p>
            <w:r>
              <w:rPr>
                <w:rFonts w:ascii="Calibri" w:hAnsi="Calibri"/>
                <w:sz w:val="22"/>
              </w:rPr>
              <w:t>Consistent with HBAN's 400–450 bps guide; Cadence synergies provide step-change in Q4</w:t>
            </w:r>
          </w:p>
        </w:tc>
        <w:tc>
          <w:tcPr>
            <w:tcW w:type="dxa" w:w="2160"/>
          </w:tcPr>
          <w:p>
            <w:r>
              <w:rPr>
                <w:rFonts w:ascii="Calibri" w:hAnsi="Calibri"/>
                <w:b/>
                <w:color w:val="30A46C"/>
                <w:sz w:val="22"/>
              </w:rPr>
              <w:t>Positive</w:t>
            </w:r>
          </w:p>
        </w:tc>
      </w:tr>
      <w:tr>
        <w:tc>
          <w:tcPr>
            <w:tcW w:type="dxa" w:w="2160"/>
          </w:tcPr>
          <w:p>
            <w:r>
              <w:rPr>
                <w:rFonts w:ascii="Calibri" w:hAnsi="Calibri"/>
                <w:sz w:val="22"/>
              </w:rPr>
              <w:t>Texas Multifamily</w:t>
            </w:r>
          </w:p>
        </w:tc>
        <w:tc>
          <w:tcPr>
            <w:tcW w:type="dxa" w:w="2160"/>
          </w:tcPr>
          <w:p>
            <w:r>
              <w:rPr>
                <w:rFonts w:ascii="Calibri" w:hAnsi="Calibri"/>
                <w:sz w:val="22"/>
              </w:rPr>
              <w:t>RF flagged "little softness" in multifamily in a couple of markets including Texas</w:t>
            </w:r>
          </w:p>
        </w:tc>
        <w:tc>
          <w:tcPr>
            <w:tcW w:type="dxa" w:w="2160"/>
          </w:tcPr>
          <w:p>
            <w:r>
              <w:rPr>
                <w:rFonts w:ascii="Calibri" w:hAnsi="Calibri"/>
                <w:sz w:val="22"/>
              </w:rPr>
              <w:t>Watch item for HBAN's new Texas CRE exposure; management has not flagged as a concern</w:t>
            </w:r>
          </w:p>
        </w:tc>
        <w:tc>
          <w:tcPr>
            <w:tcW w:type="dxa" w:w="2160"/>
          </w:tcPr>
          <w:p>
            <w:r>
              <w:rPr>
                <w:rFonts w:ascii="Calibri" w:hAnsi="Calibri"/>
                <w:b/>
                <w:color w:val="002FA7"/>
                <w:sz w:val="22"/>
              </w:rPr>
              <w:t>Neutral / Watch</w:t>
            </w:r>
          </w:p>
        </w:tc>
      </w:tr>
      <w:tr>
        <w:tc>
          <w:tcPr>
            <w:tcW w:type="dxa" w:w="2160"/>
          </w:tcPr>
          <w:p>
            <w:r>
              <w:rPr>
                <w:rFonts w:ascii="Calibri" w:hAnsi="Calibri"/>
                <w:sz w:val="22"/>
              </w:rPr>
              <w:t>Macro Environment</w:t>
            </w:r>
          </w:p>
        </w:tc>
        <w:tc>
          <w:tcPr>
            <w:tcW w:type="dxa" w:w="2160"/>
          </w:tcPr>
          <w:p>
            <w:r>
              <w:rPr>
                <w:rFonts w:ascii="Calibri" w:hAnsi="Calibri"/>
                <w:sz w:val="22"/>
              </w:rPr>
              <w:t>All peers: solid economic activity, healthy consumer, strong business investment</w:t>
            </w:r>
          </w:p>
        </w:tc>
        <w:tc>
          <w:tcPr>
            <w:tcW w:type="dxa" w:w="2160"/>
          </w:tcPr>
          <w:p>
            <w:r>
              <w:rPr>
                <w:rFonts w:ascii="Calibri" w:hAnsi="Calibri"/>
                <w:sz w:val="22"/>
              </w:rPr>
              <w:t>Corroborates HBAN CFO's June 9 statement that environment is "more favorable" than April</w:t>
            </w:r>
          </w:p>
        </w:tc>
        <w:tc>
          <w:tcPr>
            <w:tcW w:type="dxa" w:w="2160"/>
          </w:tcPr>
          <w:p>
            <w:r>
              <w:rPr>
                <w:rFonts w:ascii="Calibri" w:hAnsi="Calibri"/>
                <w:b/>
                <w:color w:val="30A46C"/>
                <w:sz w:val="22"/>
              </w:rPr>
              <w:t>Positive</w:t>
            </w:r>
          </w:p>
        </w:tc>
      </w:tr>
    </w:tbl>
    <w:p>
      <w:r>
        <w:rPr>
          <w:rFonts w:ascii="Calibri" w:hAnsi="Calibri"/>
          <w:b/>
          <w:color w:val="525866"/>
          <w:sz w:val="22"/>
        </w:rPr>
        <w:t xml:space="preserve">Overall Peer Read-Through Assessment: </w:t>
      </w:r>
      <w:r>
        <w:rPr>
          <w:rFonts w:ascii="Calibri" w:hAnsi="Calibri"/>
          <w:color w:val="525866"/>
          <w:sz w:val="22"/>
        </w:rPr>
        <w:t>The Q2 2026 peer earnings season has been uniformly constructive for regional banks, with NII growth, NIM expansion, strong fee income, normalizing credit, and stable deposit costs all pointing in the right direction for HBAN. The peer evidence provides independent corroboration of management's constructive June tone and supports the view that Q2 2026 consensus estimates represent a beatable bar. HBAN's unique tailwinds — Cadence cost synergy acceleration, Texas/Southern market revenue synergies, and the Carolinas de novo build-out — are additive to the sector-wide positive backdrop. The only watch item is Texas multifamily softness flagged by RF, which is worth monitoring but has not been flagged by HBAN management as a material concern. Sources: RF, KEY, CFG, USB, FITB Q2 2026 Earnings Calls and Releases; BAC and WFC Q2 2026 Earnings Calls (bank_2Q_deposit Commentary).</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