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ca-earnings-predictions--2026-07-24"/>
    <w:p>
      <w:pPr>
        <w:pStyle w:val="Heading1"/>
      </w:pPr>
      <w:r>
        <w:t xml:space="preserve">HCA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20.23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20.2B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~$7.59 (dil.</w:t>
            </w:r>
            <w:r>
              <w:t xml:space="preserve"> </w:t>
            </w:r>
            <m:oMath>
              <m:r>
                <m:t>7.62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7.60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4.03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~$28.70-30.50 (mid</w:t>
            </w:r>
            <w:r>
              <w:t xml:space="preserve"> </w:t>
            </w:r>
            <m:oMath>
              <m:r>
                <m:t>29.60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29.60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~$15.40-16.10B (mid</w:t>
            </w:r>
            <w:r>
              <w:t xml:space="preserve"> </w:t>
            </w:r>
            <m:oMath>
              <m:r>
                <m:t>15.75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15.75B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~$77.0-79.5B (mid</w:t>
            </w:r>
            <w:r>
              <w:t xml:space="preserve"> </w:t>
            </w:r>
            <m:oMath>
              <m:r>
                <m:t>78.25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78.2B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ACA exchange headwind assumption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</m:t>
              </m:r>
              <m:r>
                <m:rPr>
                  <m:sty m:val="p"/>
                </m:rPr>
                <m:t>−</m:t>
              </m:r>
              <m:r>
                <m:t>1.2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1.1B (FY2026, already reset 7/14)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annualized EPTC/exchange headwind (call commentary — swing factor)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implied ~</w:t>
            </w:r>
            <m:oMath>
              <m:r>
                <m:t>1.5</m:t>
              </m:r>
              <m:r>
                <m:rPr>
                  <m:sty m:val="p"/>
                </m:rPr>
                <m:t>−</m:t>
              </m:r>
              <m:r>
                <m:t>2.0</m:t>
              </m:r>
              <m:r>
                <m:t>B</m:t>
              </m:r>
              <m:r>
                <m:t>a</m:t>
              </m:r>
              <m:r>
                <m:t>n</m:t>
              </m:r>
              <m:r>
                <m:t>n</m:t>
              </m:r>
              <m:r>
                <m:t>u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All headline numbers and the FY26 guide cut were pre-announced 7/14 (stock -7% then +3.6% off the low into the print), so the call carries no new hard numbers — it is a pure narrative event. A modest day-1 relief tick is plausible as the flush is done, expectations are reset, and buybacks provide a floor. But the structural EPTC/uninsured overhang into 2027 and ongoing sector-wide estimate trims cap follow-through, while the completed flush limits further downside — net range-bound. Downside skew only if management previews a materially worse-than-feared 2027 exchange annualization.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2026-07-24T00:13:30Z</dcterms:created>
  <dcterms:modified xsi:type="dcterms:W3CDTF">2026-07-24T00:13:30Z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