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fd773c5a18dc7f20d1059bbf8301b65919a63"/>
    <w:p>
      <w:pPr>
        <w:pStyle w:val="Heading1"/>
      </w:pPr>
      <w:r>
        <w:t xml:space="preserve">HCA Healthcare (HCA) — Q2 2026 Earnings Preview</w:t>
      </w:r>
    </w:p>
    <w:bookmarkStart w:id="9" w:name="X61f294a26a76ff6e576f3e2c91af0797fe4a448"/>
    <w:p>
      <w:pPr>
        <w:pStyle w:val="Heading3"/>
      </w:pPr>
      <w:r>
        <w:t xml:space="preserve">Call: Friday, July 24, 2026, 9:00 a.m. CT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X23b813f518cd6f10f130a2cdd7b463954f27ba0"/>
    <w:p>
      <w:pPr>
        <w:pStyle w:val="Heading2"/>
      </w:pPr>
      <w:r>
        <w:t xml:space="preserve">The Unusual Setup: This Is a "Second Look," Not a First Look</w:t>
      </w:r>
    </w:p>
    <w:p>
      <w:pPr>
        <w:pStyle w:val="FirstParagraph"/>
      </w:pPr>
      <w:r>
        <w:t xml:space="preserve">The single most important thing to understand going into this print is that</w:t>
      </w:r>
      <w:r>
        <w:t xml:space="preserve"> </w:t>
      </w:r>
      <w:r>
        <w:rPr>
          <w:b/>
          <w:bCs/>
        </w:rPr>
        <w:t xml:space="preserve">HCA already told us the numbers.</w:t>
      </w:r>
      <w:r>
        <w:t xml:space="preserve"> </w:t>
      </w:r>
      <w:r>
        <w:t xml:space="preserve">On July 14, 2026, HCA pre‑announced preliminary Q2 results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cut full‑year guidance in an 8‑K — a rare move that management typically reserves for material surprises. The stock fell roughly</w:t>
      </w:r>
      <w:r>
        <w:t xml:space="preserve"> </w:t>
      </w:r>
      <w:r>
        <w:rPr>
          <w:b/>
          <w:bCs/>
        </w:rPr>
        <w:t xml:space="preserve">7% on the day</w:t>
      </w:r>
      <w:r>
        <w:t xml:space="preserve"> </w:t>
      </w:r>
      <w:r>
        <w:t xml:space="preserve">(from ~$390.74 on 7/13 to $363.60 on 7/14), and dragged hospital peers down with it (Tenet -5.7%, UHS -5.6%).</w:t>
      </w:r>
    </w:p>
    <w:p>
      <w:pPr>
        <w:pStyle w:val="BodyText"/>
      </w:pPr>
      <w:r>
        <w:t xml:space="preserve">So tomorrow's call is</w:t>
      </w:r>
      <w:r>
        <w:t xml:space="preserve"> </w:t>
      </w:r>
      <w:r>
        <w:rPr>
          <w:b/>
          <w:bCs/>
        </w:rPr>
        <w:t xml:space="preserve">not about the headline beat</w:t>
      </w:r>
      <w:r>
        <w:t xml:space="preserve"> </w:t>
      </w:r>
      <w:r>
        <w:t xml:space="preserve">— it's about the</w:t>
      </w:r>
      <w:r>
        <w:t xml:space="preserve"> </w:t>
      </w:r>
      <w:r>
        <w:rPr>
          <w:i/>
          <w:iCs/>
        </w:rPr>
        <w:t xml:space="preserve">narrative</w:t>
      </w:r>
      <w:r>
        <w:t xml:space="preserve">: how much of the guidance cut is structural vs. transitory, and what it implies for 2027, when the biggest overhang (ACA subsidy expiration) fully bites.</w:t>
      </w:r>
    </w:p>
    <w:p>
      <w:r>
        <w:pict>
          <v:rect style="width:0;height:1.5pt" o:hralign="center" o:hrstd="t" o:hr="t"/>
        </w:pict>
      </w:r>
    </w:p>
    <w:bookmarkEnd w:id="10"/>
    <w:bookmarkStart w:id="11" w:name="X685e492cb0859f98c77c6d3dc3ea555f0e36b99"/>
    <w:p>
      <w:pPr>
        <w:pStyle w:val="Heading2"/>
      </w:pPr>
      <w:r>
        <w:t xml:space="preserve">Preliminary Q2 Results (already disclosed 7/14)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(prelim)</w:t>
            </w:r>
          </w:p>
        </w:tc>
        <w:tc>
          <w:tcPr/>
          <w:p>
            <w:pPr>
              <w:pStyle w:val="Compact"/>
            </w:pPr>
            <w:r>
              <w:t xml:space="preserve">Q2 2025</w:t>
            </w:r>
          </w:p>
        </w:tc>
        <w:tc>
          <w:tcPr/>
          <w:p>
            <w:pPr>
              <w:pStyle w:val="Compact"/>
            </w:pPr>
            <w:r>
              <w:t xml:space="preserve">Consensus (pre-announce)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~$20.23B (+8.7% YoY)</w:t>
            </w:r>
          </w:p>
        </w:tc>
        <w:tc>
          <w:tcPr/>
          <w:p>
            <w:pPr>
              <w:pStyle w:val="Compact"/>
            </w:pPr>
            <w:r>
              <w:t xml:space="preserve">$18.61B</w:t>
            </w:r>
          </w:p>
        </w:tc>
        <w:tc>
          <w:tcPr/>
          <w:p>
            <w:pPr>
              <w:pStyle w:val="Compact"/>
            </w:pPr>
            <w:r>
              <w:t xml:space="preserve">~$19.4B ✅ beat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$7.62 (+11.6% YoY)</w:t>
            </w:r>
          </w:p>
        </w:tc>
        <w:tc>
          <w:tcPr/>
          <w:p>
            <w:pPr>
              <w:pStyle w:val="Compact"/>
            </w:pPr>
            <w:r>
              <w:t xml:space="preserve">$6.83</w:t>
            </w:r>
          </w:p>
        </w:tc>
        <w:tc>
          <w:tcPr/>
          <w:p>
            <w:pPr>
              <w:pStyle w:val="Compact"/>
            </w:pPr>
            <w:r>
              <w:t xml:space="preserve">~$7.46 ✅ beat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$7.59</w:t>
            </w:r>
          </w:p>
        </w:tc>
        <w:tc>
          <w:tcPr/>
          <w:p>
            <w:pPr>
              <w:pStyle w:val="Compact"/>
            </w:pPr>
            <w:r>
              <w:t xml:space="preserve">$6.84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$4.027B (+4.6% YoY)</w:t>
            </w:r>
          </w:p>
        </w:tc>
        <w:tc>
          <w:tcPr/>
          <w:p>
            <w:pPr>
              <w:pStyle w:val="Compact"/>
            </w:pPr>
            <w:r>
              <w:t xml:space="preserve">$3.849B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19.9%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20.7%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  <w:r>
              <w:t xml:space="preserve"> </w:t>
            </w:r>
            <w:r>
              <w:rPr>
                <w:b/>
                <w:bCs/>
              </w:rPr>
              <w:t xml:space="preserve">-80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shares</w:t>
            </w:r>
          </w:p>
        </w:tc>
        <w:tc>
          <w:tcPr/>
          <w:p>
            <w:pPr>
              <w:pStyle w:val="Compact"/>
            </w:pPr>
            <w:r>
              <w:t xml:space="preserve">222.8M</w:t>
            </w:r>
          </w:p>
        </w:tc>
        <w:tc>
          <w:tcPr/>
          <w:p>
            <w:pPr>
              <w:pStyle w:val="Compact"/>
            </w:pPr>
            <w:r>
              <w:t xml:space="preserve">241.9M</w:t>
            </w:r>
          </w:p>
        </w:tc>
        <w:tc>
          <w:tcPr/>
          <w:p>
            <w:pPr>
              <w:pStyle w:val="Compact"/>
            </w:pPr>
            <w:r>
              <w:t xml:space="preserve">~8% reduction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paradox of the quarter:</w:t>
      </w:r>
      <w:r>
        <w:t xml:space="preserve"> </w:t>
      </w:r>
      <w:r>
        <w:t xml:space="preserve">HCA</w:t>
      </w:r>
      <w:r>
        <w:t xml:space="preserve"> </w:t>
      </w:r>
      <w:r>
        <w:rPr>
          <w:i/>
          <w:iCs/>
        </w:rPr>
        <w:t xml:space="preserve">beat</w:t>
      </w:r>
      <w:r>
        <w:t xml:space="preserve"> </w:t>
      </w:r>
      <w:r>
        <w:t xml:space="preserve">on revenue and EPS but</w:t>
      </w:r>
      <w:r>
        <w:t xml:space="preserve"> </w:t>
      </w:r>
      <w:r>
        <w:rPr>
          <w:i/>
          <w:iCs/>
        </w:rPr>
        <w:t xml:space="preserve">cut</w:t>
      </w:r>
      <w:r>
        <w:t xml:space="preserve"> </w:t>
      </w:r>
      <w:r>
        <w:t xml:space="preserve">guidance and sold off. That tension is the whole story. Two large, offsetting one-time-ish items ran through Q2:</w:t>
      </w:r>
    </w:p>
    <w:p>
      <w:pPr>
        <w:pStyle w:val="Compact"/>
        <w:numPr>
          <w:ilvl w:val="0"/>
          <w:numId w:val="1001"/>
        </w:numPr>
      </w:pPr>
      <w:r>
        <w:t xml:space="preserve">**~</w:t>
      </w:r>
      <m:oMath>
        <m:r>
          <m:t>400</m:t>
        </m:r>
        <m:r>
          <m:t>M</m:t>
        </m:r>
        <m:r>
          <m:t>u</m:t>
        </m:r>
        <m:r>
          <m:t>n</m:t>
        </m:r>
        <m:r>
          <m:t>f</m:t>
        </m:r>
        <m:r>
          <m:t>a</m:t>
        </m:r>
        <m:r>
          <m:t>v</m:t>
        </m:r>
        <m:r>
          <m:t>o</m:t>
        </m:r>
        <m:r>
          <m:t>r</m:t>
        </m:r>
        <m:r>
          <m:t>a</m:t>
        </m:r>
        <m:r>
          <m:t>b</m:t>
        </m:r>
        <m:r>
          <m:t>l</m:t>
        </m:r>
        <m:r>
          <m:t>e</m:t>
        </m:r>
        <m:r>
          <m:t>p</m:t>
        </m:r>
        <m:r>
          <m:t>a</m:t>
        </m:r>
        <m:r>
          <m:t>y</m:t>
        </m:r>
        <m:r>
          <m:t>e</m:t>
        </m:r>
        <m:r>
          <m:t>r</m:t>
        </m:r>
        <m:r>
          <m:rPr>
            <m:sty m:val="p"/>
          </m:rPr>
          <m:t>−</m:t>
        </m:r>
        <m:r>
          <m:t>m</m:t>
        </m:r>
        <m:r>
          <m:t>i</m:t>
        </m:r>
        <m:r>
          <m:t>x</m:t>
        </m:r>
        <m:r>
          <m:t>h</m:t>
        </m:r>
        <m:r>
          <m:t>i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rPr>
            <m:sty m:val="p"/>
          </m:rPr>
          <m:t>)</m:t>
        </m:r>
        <m:r>
          <m:t>f</m:t>
        </m:r>
        <m:r>
          <m:t>r</m:t>
        </m:r>
        <m:r>
          <m:t>o</m:t>
        </m:r>
        <m:r>
          <m:t>m</m:t>
        </m:r>
        <m:r>
          <m:t>a</m:t>
        </m:r>
        <m:r>
          <m:t>s</m:t>
        </m:r>
        <m:r>
          <m:t>h</m:t>
        </m:r>
        <m:r>
          <m:t>i</m:t>
        </m:r>
        <m:r>
          <m:t>f</m:t>
        </m:r>
        <m:r>
          <m:t>t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u</m:t>
        </m:r>
        <m:r>
          <m:t>n</m:t>
        </m:r>
        <m:r>
          <m:t>i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d</m:t>
        </m:r>
        <m:r>
          <m:t>v</m:t>
        </m:r>
        <m:r>
          <m:t>o</m:t>
        </m:r>
        <m:r>
          <m:t>l</m:t>
        </m:r>
        <m:r>
          <m:t>u</m:t>
        </m:r>
        <m:r>
          <m:t>m</m:t>
        </m:r>
        <m:r>
          <m:t>e</m:t>
        </m:r>
        <m:r>
          <m:rPr>
            <m:sty m:val="p"/>
          </m:rPr>
          <m:t>—</m:t>
        </m:r>
        <m:r>
          <m:t>p</m:t>
        </m:r>
        <m:r>
          <m:t>a</m:t>
        </m:r>
        <m:r>
          <m:t>t</m:t>
        </m:r>
        <m:r>
          <m:t>i</m:t>
        </m:r>
        <m:r>
          <m:t>e</m:t>
        </m:r>
        <m:r>
          <m:t>n</m:t>
        </m:r>
        <m:r>
          <m:t>t</m:t>
        </m:r>
        <m:r>
          <m:t>s</m:t>
        </m:r>
        <m:r>
          <m:t>l</m:t>
        </m:r>
        <m:r>
          <m:t>o</m:t>
        </m:r>
        <m:r>
          <m:t>s</m:t>
        </m:r>
        <m:r>
          <m:t>i</m:t>
        </m:r>
        <m:r>
          <m:t>n</m:t>
        </m:r>
        <m:r>
          <m:t>g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A</m:t>
        </m:r>
        <m:r>
          <m:t>C</m:t>
        </m:r>
        <m:r>
          <m:t>A</m:t>
        </m:r>
        <m:r>
          <m:t>e</m:t>
        </m:r>
        <m:r>
          <m:t>x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t>s</m:t>
        </m:r>
        <m:r>
          <m:rPr>
            <m:sty m:val="p"/>
          </m:rPr>
          <m:t>.</m:t>
        </m:r>
        <m:r>
          <m:t>N</m:t>
        </m:r>
        <m:r>
          <m:t>o</m:t>
        </m:r>
        <m:r>
          <m:t>t</m:t>
        </m:r>
        <m:r>
          <m:t>e</m:t>
        </m:r>
        <m:r>
          <m:t> </m:t>
        </m:r>
      </m:oMath>
      <w:r>
        <w:t xml:space="preserve">75M of this was a</w:t>
      </w:r>
      <w:r>
        <w:t xml:space="preserve"> </w:t>
      </w:r>
      <w:r>
        <w:rPr>
          <w:i/>
          <w:iCs/>
        </w:rPr>
        <w:t xml:space="preserve">catch-up</w:t>
      </w:r>
      <w:r>
        <w:t xml:space="preserve"> </w:t>
      </w:r>
      <w:r>
        <w:t xml:space="preserve">revision to the Q1 exchange impact estimate.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~$400M incremental net benefit</w:t>
      </w:r>
      <w:r>
        <w:t xml:space="preserve"> </w:t>
      </w:r>
      <w:r>
        <w:t xml:space="preserve">from Medicaid supplemental payment programs — primarily a newly-approved</w:t>
      </w:r>
      <w:r>
        <w:t xml:space="preserve"> </w:t>
      </w:r>
      <w:r>
        <w:rPr>
          <w:b/>
          <w:bCs/>
        </w:rPr>
        <w:t xml:space="preserve">Florida state directed payment program</w:t>
      </w:r>
      <w:r>
        <w:t xml:space="preserve"> </w:t>
      </w:r>
      <w:r>
        <w:t xml:space="preserve">covering Oct 2024 through June 2026 (a big retroactive catch-up).</w:t>
      </w:r>
    </w:p>
    <w:p>
      <w:pPr>
        <w:pStyle w:val="FirstParagraph"/>
      </w:pPr>
      <w:r>
        <w:t xml:space="preserve">In other words, a favorable government-payment windfall roughly masked a worsening core payer-mix problem. Investors should press management on the</w:t>
      </w:r>
      <w:r>
        <w:t xml:space="preserve"> </w:t>
      </w:r>
      <w:r>
        <w:rPr>
          <w:b/>
          <w:bCs/>
        </w:rPr>
        <w:t xml:space="preserve">underlying, "clean" run-rate</w:t>
      </w:r>
      <w:r>
        <w:t xml:space="preserve"> </w:t>
      </w:r>
      <w:r>
        <w:t xml:space="preserve">once these wash out.</w:t>
      </w:r>
    </w:p>
    <w:p>
      <w:r>
        <w:pict>
          <v:rect style="width:0;height:1.5pt" o:hralign="center" o:hrstd="t" o:hr="t"/>
        </w:pict>
      </w:r>
    </w:p>
    <w:bookmarkEnd w:id="11"/>
    <w:bookmarkStart w:id="12" w:name="the-guidance-cut--what-changed"/>
    <w:p>
      <w:pPr>
        <w:pStyle w:val="Heading2"/>
      </w:pPr>
      <w:r>
        <w:t xml:space="preserve">The Guidance Cut — What Changed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Guidance</w:t>
            </w:r>
          </w:p>
        </w:tc>
        <w:tc>
          <w:tcPr/>
          <w:p>
            <w:pPr>
              <w:pStyle w:val="Compact"/>
            </w:pPr>
            <w:r>
              <w:t xml:space="preserve">Prior (Jan 27)</w:t>
            </w:r>
          </w:p>
        </w:tc>
        <w:tc>
          <w:tcPr/>
          <w:p>
            <w:pPr>
              <w:pStyle w:val="Compact"/>
            </w:pPr>
            <w:r>
              <w:t xml:space="preserve">Revised (Jul 14)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$76.5–80.0B</w:t>
            </w:r>
          </w:p>
        </w:tc>
        <w:tc>
          <w:tcPr/>
          <w:p>
            <w:pPr>
              <w:pStyle w:val="Compact"/>
            </w:pPr>
            <w:r>
              <w:t xml:space="preserve">$77.0–79.5B (narrowed)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t xml:space="preserve">$6.495–7.035B</w:t>
            </w:r>
          </w:p>
        </w:tc>
        <w:tc>
          <w:tcPr/>
          <w:p>
            <w:pPr>
              <w:pStyle w:val="Compact"/>
            </w:pPr>
            <w:r>
              <w:t xml:space="preserve">$6.30–6.70B ⬇️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$15.55–16.45B</w:t>
            </w:r>
          </w:p>
        </w:tc>
        <w:tc>
          <w:tcPr/>
          <w:p>
            <w:pPr>
              <w:pStyle w:val="Compact"/>
            </w:pPr>
            <w:r>
              <w:t xml:space="preserve">$15.40–16.10B ⬇️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$29.10–31.50</w:t>
            </w:r>
          </w:p>
        </w:tc>
        <w:tc>
          <w:tcPr/>
          <w:p>
            <w:pPr>
              <w:pStyle w:val="Compact"/>
            </w:pPr>
            <w:r>
              <w:t xml:space="preserve">$28.70–30.50 ⬇️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CapEx</w:t>
            </w:r>
          </w:p>
        </w:tc>
        <w:tc>
          <w:tcPr/>
          <w:p>
            <w:pPr>
              <w:pStyle w:val="Compact"/>
            </w:pPr>
            <w:r>
              <w:t xml:space="preserve">$5.0–5.5B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assumption revisions tell the real story: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Assumption</w:t>
            </w:r>
          </w:p>
        </w:tc>
        <w:tc>
          <w:tcPr/>
          <w:p>
            <w:pPr>
              <w:pStyle w:val="Compact"/>
            </w:pPr>
            <w:r>
              <w:t xml:space="preserve">Prior (Apr 24)</w:t>
            </w:r>
          </w:p>
        </w:tc>
        <w:tc>
          <w:tcPr/>
          <w:p>
            <w:pPr>
              <w:pStyle w:val="Compact"/>
            </w:pPr>
            <w:r>
              <w:t xml:space="preserve">Revised (Jul 14)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Health Insurance Exchange impact</w:t>
            </w:r>
          </w:p>
        </w:tc>
        <w:tc>
          <w:tcPr/>
          <w:p>
            <w:pPr>
              <w:pStyle w:val="Compact"/>
            </w:pPr>
            <w:r>
              <w:t xml:space="preserve">(</w:t>
            </w:r>
            <m:oMath>
              <m:r>
                <m:t>600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–</m:t>
              </m:r>
              <m:r>
                <m:rPr>
                  <m:sty m:val="p"/>
                </m:rPr>
                <m:t>(</m:t>
              </m:r>
            </m:oMath>
            <w:r>
              <w:t xml:space="preserve">900)M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(</w:t>
            </w:r>
            <m:oMath>
              <m:r>
                <m:t>1.0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–</m:t>
              </m:r>
              <m:r>
                <m:rPr>
                  <m:sty m:val="p"/>
                </m:rPr>
                <m:t>(</m:t>
              </m:r>
            </m:oMath>
            <w:r>
              <w:rPr>
                <w:b/>
                <w:bCs/>
              </w:rPr>
              <w:t xml:space="preserve">1.2)B</w:t>
            </w:r>
            <w:r>
              <w:t xml:space="preserve"> </w:t>
            </w:r>
            <w:r>
              <w:t xml:space="preserve">⬇️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Medicaid Supplemental Payments</w:t>
            </w:r>
          </w:p>
        </w:tc>
        <w:tc>
          <w:tcPr/>
          <w:p>
            <w:pPr>
              <w:pStyle w:val="Compact"/>
            </w:pPr>
            <w:r>
              <w:t xml:space="preserve">(</w:t>
            </w:r>
            <m:oMath>
              <m:r>
                <m:t>50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–</m:t>
              </m:r>
              <m:r>
                <m:rPr>
                  <m:sty m:val="p"/>
                </m:rPr>
                <m:t>(</m:t>
              </m:r>
            </m:oMath>
            <w:r>
              <w:t xml:space="preserve">250)M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+$300–500M</w:t>
            </w:r>
            <w:r>
              <w:t xml:space="preserve"> </w:t>
            </w:r>
            <w:r>
              <w:t xml:space="preserve">⬆️</w:t>
            </w:r>
          </w:p>
        </w:tc>
      </w:tr>
    </w:tbl>
    <w:p>
      <w:pPr>
        <w:pStyle w:val="BodyText"/>
      </w:pPr>
      <w:r>
        <w:t xml:space="preserve">The exchange headwind was</w:t>
      </w:r>
      <w:r>
        <w:t xml:space="preserve"> </w:t>
      </w:r>
      <w:r>
        <w:rPr>
          <w:b/>
          <w:bCs/>
        </w:rPr>
        <w:t xml:space="preserve">roughly doubled</w:t>
      </w:r>
      <w:r>
        <w:t xml:space="preserve">, only partially cushioned by the Florida-driven Medicaid supplemental swing to a net</w:t>
      </w:r>
      <w:r>
        <w:t xml:space="preserve"> </w:t>
      </w:r>
      <w:r>
        <w:rPr>
          <w:i/>
          <w:iCs/>
        </w:rPr>
        <w:t xml:space="preserve">positive</w:t>
      </w:r>
      <w:r>
        <w:t xml:space="preserve">. The takeaway: the exchange deterioration is bigger and arriving faster than HCA modeled just three months ago — and the Medicaid offset is inherently lumpy and non-repeatable.</w:t>
      </w:r>
    </w:p>
    <w:p>
      <w:r>
        <w:pict>
          <v:rect style="width:0;height:1.5pt" o:hralign="center" o:hrstd="t" o:hr="t"/>
        </w:pict>
      </w:r>
    </w:p>
    <w:bookmarkEnd w:id="12"/>
    <w:bookmarkStart w:id="19" w:name="what-investors-need-to-watch-on-the-call"/>
    <w:p>
      <w:pPr>
        <w:pStyle w:val="Heading2"/>
      </w:pPr>
      <w:r>
        <w:t xml:space="preserve">What Investors Need to Watch on the Call</w:t>
      </w:r>
    </w:p>
    <w:bookmarkStart w:id="13" w:name="X42de4b392715bb6f381ac5125298108de12b88a"/>
    <w:p>
      <w:pPr>
        <w:pStyle w:val="Heading3"/>
      </w:pPr>
      <w:r>
        <w:t xml:space="preserve">1. The ACA exchange / EPTC cliff — the dominant issue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enhanced premium tax credits (EPTCs) expire at the end of 2025</w:t>
      </w:r>
      <w:r>
        <w:t xml:space="preserve">, and combined with the 2025 Federal Budget Act, this is pushing exchange enrollees into the uninsured bucket. On the Q1 call, management framed exchange volume declines of</w:t>
      </w:r>
      <w:r>
        <w:t xml:space="preserve"> </w:t>
      </w:r>
      <w:r>
        <w:rPr>
          <w:b/>
          <w:bCs/>
        </w:rPr>
        <w:t xml:space="preserve">15–20%</w:t>
      </w:r>
      <w:r>
        <w:t xml:space="preserve">, with uninsured admissions up ~16% (over half from exchange runoff, the rest from a slowdown in Medicaid conversions — which they attributed partly to immigration-related reluctance to file applications).</w:t>
      </w:r>
    </w:p>
    <w:p>
      <w:pPr>
        <w:pStyle w:val="BodyText"/>
      </w:pPr>
      <w:r>
        <w:rPr>
          <w:b/>
          <w:bCs/>
        </w:rPr>
        <w:t xml:space="preserve">Questions that matter:</w:t>
      </w:r>
    </w:p>
    <w:p>
      <w:pPr>
        <w:pStyle w:val="Compact"/>
        <w:numPr>
          <w:ilvl w:val="0"/>
          <w:numId w:val="1002"/>
        </w:numPr>
      </w:pPr>
      <w:r>
        <w:t xml:space="preserve">Is the ~$400M Q2 payer-mix hit a</w:t>
      </w:r>
      <w:r>
        <w:t xml:space="preserve"> </w:t>
      </w:r>
      <w:r>
        <w:rPr>
          <w:i/>
          <w:iCs/>
        </w:rPr>
        <w:t xml:space="preserve">new quarterly run-rate</w:t>
      </w:r>
      <w:r>
        <w:t xml:space="preserve">, or does it still build?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2027 setup:</w:t>
      </w:r>
      <w:r>
        <w:t xml:space="preserve"> </w:t>
      </w:r>
      <w:r>
        <w:t xml:space="preserve">this is the real fear. If ~$1.0–1.2B is the 2026 impact with subsidies only expiring at year-end 2025, what's the</w:t>
      </w:r>
      <w:r>
        <w:t xml:space="preserve"> </w:t>
      </w:r>
      <w:r>
        <w:rPr>
          <w:i/>
          <w:iCs/>
        </w:rPr>
        <w:t xml:space="preserve">annualized</w:t>
      </w:r>
      <w:r>
        <w:t xml:space="preserve"> </w:t>
      </w:r>
      <w:r>
        <w:t xml:space="preserve">2027 headwind? This is what the stock is really discounting.</w:t>
      </w:r>
    </w:p>
    <w:p>
      <w:pPr>
        <w:pStyle w:val="Compact"/>
        <w:numPr>
          <w:ilvl w:val="0"/>
          <w:numId w:val="1002"/>
        </w:numPr>
      </w:pPr>
      <w:r>
        <w:t xml:space="preserve">Any signal on Washington — will Congress extend EPTCs? Management has flagged this as a live policy debate.</w:t>
      </w:r>
    </w:p>
    <w:bookmarkEnd w:id="13"/>
    <w:bookmarkStart w:id="14" w:name="X03a8837f88b9f6c41d380920adf8f2786735985"/>
    <w:p>
      <w:pPr>
        <w:pStyle w:val="Heading3"/>
      </w:pPr>
      <w:r>
        <w:t xml:space="preserve">2. Volume resilience vs. mix deterioration</w:t>
      </w:r>
    </w:p>
    <w:p>
      <w:pPr>
        <w:pStyle w:val="FirstParagraph"/>
      </w:pPr>
      <w:r>
        <w:t xml:space="preserve">Q2 same-facility trends were a study in contrasts: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Strong:</w:t>
      </w:r>
      <w:r>
        <w:t xml:space="preserve"> </w:t>
      </w:r>
      <w:r>
        <w:t xml:space="preserve">Admissions +2.5%, equivalent admissions +2.7%, ER visits +3.6%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Weak:</w:t>
      </w:r>
      <w:r>
        <w:t xml:space="preserve"> </w:t>
      </w:r>
      <w:r>
        <w:t xml:space="preserve">Inpatient surgeries</w:t>
      </w:r>
      <w:r>
        <w:t xml:space="preserve"> </w:t>
      </w:r>
      <w:r>
        <w:rPr>
          <w:b/>
          <w:bCs/>
        </w:rPr>
        <w:t xml:space="preserve">-2.3%</w:t>
      </w:r>
      <w:r>
        <w:t xml:space="preserve">, outpatient surgeries</w:t>
      </w:r>
      <w:r>
        <w:t xml:space="preserve"> </w:t>
      </w:r>
      <w:r>
        <w:rPr>
          <w:b/>
          <w:bCs/>
        </w:rPr>
        <w:t xml:space="preserve">-3.4%</w:t>
      </w:r>
    </w:p>
    <w:p>
      <w:pPr>
        <w:pStyle w:val="FirstParagraph"/>
      </w:pPr>
      <w:r>
        <w:t xml:space="preserve">Rising ER visits + falling surgeries = classic signature of a</w:t>
      </w:r>
      <w:r>
        <w:t xml:space="preserve"> </w:t>
      </w:r>
      <w:r>
        <w:rPr>
          <w:b/>
          <w:bCs/>
        </w:rPr>
        <w:t xml:space="preserve">payer-mix downgrade</w:t>
      </w:r>
      <w:r>
        <w:t xml:space="preserve"> </w:t>
      </w:r>
      <w:r>
        <w:t xml:space="preserve">(more uninsured/lower-acuity walk-ins, fewer profitable elective procedures). Demand is</w:t>
      </w:r>
      <w:r>
        <w:t xml:space="preserve"> </w:t>
      </w:r>
      <w:r>
        <w:rPr>
          <w:i/>
          <w:iCs/>
        </w:rPr>
        <w:t xml:space="preserve">there</w:t>
      </w:r>
      <w:r>
        <w:t xml:space="preserve">; profitability of that demand is eroding. Watch acuity/case-mix commentary and whether the surgical softness is mix-driven or genuine demand loss.</w:t>
      </w:r>
    </w:p>
    <w:bookmarkEnd w:id="14"/>
    <w:bookmarkStart w:id="15" w:name="X9d923b27102cfb69313405176d3de72a0f1a6d9"/>
    <w:p>
      <w:pPr>
        <w:pStyle w:val="Heading3"/>
      </w:pPr>
      <w:r>
        <w:t xml:space="preserve">3. Margin trajectory &amp; the $400M resiliency plan</w:t>
      </w:r>
    </w:p>
    <w:p>
      <w:pPr>
        <w:pStyle w:val="FirstParagraph"/>
      </w:pPr>
      <w:r>
        <w:t xml:space="preserve">EBITDA margin fell 80 bps YoY. HCA has a</w:t>
      </w:r>
      <w:r>
        <w:t xml:space="preserve"> </w:t>
      </w:r>
      <w:r>
        <w:rPr>
          <w:b/>
          <w:bCs/>
        </w:rPr>
        <w:t xml:space="preserve">$400M full-year resiliency/cost program</w:t>
      </w:r>
      <w:r>
        <w:t xml:space="preserve"> </w:t>
      </w:r>
      <w:r>
        <w:t xml:space="preserve">(AI, ambient documentation, nurse handoff, case management). Look for confirmation that resiliency savings are on track and offsetting mix pressure — and how AI is contributing operationally.</w:t>
      </w:r>
    </w:p>
    <w:bookmarkEnd w:id="15"/>
    <w:bookmarkStart w:id="16" w:name="X8fe0f2a46cd5468ab571fdc68deb2bd89f078c0"/>
    <w:p>
      <w:pPr>
        <w:pStyle w:val="Heading3"/>
      </w:pPr>
      <w:r>
        <w:t xml:space="preserve">4. Florida DPP and the durability of Medicaid supplemental payments</w:t>
      </w:r>
    </w:p>
    <w:p>
      <w:pPr>
        <w:pStyle w:val="FirstParagraph"/>
      </w:pPr>
      <w:r>
        <w:t xml:space="preserve">The Florida program approval was the swing factor to the upside this quarter. On the Q1 call, management was already "positive" on Florida. Key: how much was</w:t>
      </w:r>
      <w:r>
        <w:t xml:space="preserve"> </w:t>
      </w:r>
      <w:r>
        <w:rPr>
          <w:b/>
          <w:bCs/>
        </w:rPr>
        <w:t xml:space="preserve">retroactive catch-up</w:t>
      </w:r>
      <w:r>
        <w:t xml:space="preserve"> </w:t>
      </w:r>
      <w:r>
        <w:t xml:space="preserve">(non-recurring) vs. a sustainable ongoing benefit, and what remains outstanding across other states. These programs are, in management's own words, "complex, variable and difficult to predict."</w:t>
      </w:r>
    </w:p>
    <w:bookmarkEnd w:id="16"/>
    <w:bookmarkStart w:id="17" w:name="X0f1914217dca647230d4bd4814f72bca8aa9c4e"/>
    <w:p>
      <w:pPr>
        <w:pStyle w:val="Heading3"/>
      </w:pPr>
      <w:r>
        <w:t xml:space="preserve">5. Capital allocation</w:t>
      </w:r>
    </w:p>
    <w:p>
      <w:pPr>
        <w:pStyle w:val="FirstParagraph"/>
      </w:pPr>
      <w:r>
        <w:t xml:space="preserve">HCA remains a capital-return machine — Q1 saw $1.57B in buybacks + $183M dividends, and the diluted share count fell ~8% YoY (241.9M → 222.8M). CapEx guidance held at $5.0–5.5B. With the stock beaten down, watch for aggressive repurchase commentary as a floor.</w:t>
      </w:r>
    </w:p>
    <w:bookmarkEnd w:id="17"/>
    <w:bookmarkStart w:id="18" w:name="X9ab0040cc650bbd3c447e8205d5c554f71e9875"/>
    <w:p>
      <w:pPr>
        <w:pStyle w:val="Heading3"/>
      </w:pPr>
      <w:r>
        <w:t xml:space="preserve">6. 2027 payer contracting</w:t>
      </w:r>
    </w:p>
    <w:p>
      <w:pPr>
        <w:pStyle w:val="FirstParagraph"/>
      </w:pPr>
      <w:r>
        <w:t xml:space="preserve">On Q1, management noted 2026 is fully contracted; they're ~1/3 through 2027 and modestly into 2028 negotiations. Given the payer/utilization-management friction (denials, Medicare Advantage), any rate-environment color for 2027–28 is valuable.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stock-context-a-rough-year"/>
    <w:p>
      <w:pPr>
        <w:pStyle w:val="Heading2"/>
      </w:pPr>
      <w:r>
        <w:t xml:space="preserve">Stock Context: A Rough Year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YTD 2026: roughly -19%</w:t>
      </w:r>
      <w:r>
        <w:t xml:space="preserve"> </w:t>
      </w:r>
      <w:r>
        <w:t xml:space="preserve">(from $466.86 at YE2025 to $376.54 on 7/23).</w:t>
      </w:r>
    </w:p>
    <w:p>
      <w:pPr>
        <w:pStyle w:val="Compact"/>
        <w:numPr>
          <w:ilvl w:val="0"/>
          <w:numId w:val="1004"/>
        </w:numPr>
      </w:pPr>
      <w:r>
        <w:t xml:space="preserve">Peaked near</w:t>
      </w:r>
      <w:r>
        <w:t xml:space="preserve"> </w:t>
      </w:r>
      <w:r>
        <w:rPr>
          <w:b/>
          <w:bCs/>
        </w:rPr>
        <w:t xml:space="preserve">$545 in early-to-mid March</w:t>
      </w:r>
      <w:r>
        <w:t xml:space="preserve">, then declined steadily — now</w:t>
      </w:r>
      <w:r>
        <w:t xml:space="preserve"> </w:t>
      </w:r>
      <w:r>
        <w:rPr>
          <w:b/>
          <w:bCs/>
        </w:rPr>
        <w:t xml:space="preserve">~31% off the high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The stock has stabilized</w:t>
      </w:r>
      <w:r>
        <w:t xml:space="preserve"> </w:t>
      </w:r>
      <w:r>
        <w:rPr>
          <w:i/>
          <w:iCs/>
        </w:rPr>
        <w:t xml:space="preserve">slightly</w:t>
      </w:r>
      <w:r>
        <w:t xml:space="preserve"> </w:t>
      </w:r>
      <w:r>
        <w:t xml:space="preserve">since the 7/14 low ($363.60 → $376.54 by 7/23), suggesting the pre-announcement may have flushed out some bad news.</w:t>
      </w:r>
    </w:p>
    <w:p>
      <w:pPr>
        <w:pStyle w:val="FirstParagraph"/>
      </w:pPr>
      <w:r>
        <w:t xml:space="preserve">The setup is asymmetric: with numbers already known and expectations reset, the call is a</w:t>
      </w:r>
      <w:r>
        <w:t xml:space="preserve"> </w:t>
      </w:r>
      <w:r>
        <w:rPr>
          <w:b/>
          <w:bCs/>
        </w:rPr>
        <w:t xml:space="preserve">narrative/sentiment event.</w:t>
      </w:r>
      <w:r>
        <w:t xml:space="preserve"> </w:t>
      </w:r>
      <w:r>
        <w:t xml:space="preserve">A credible framing of the exchange headwind as manageable into 2027 — plus reassurance on volumes, resiliency, and buybacks — could support a relief move. Conversely, any hint that the payer-mix erosion is accelerating (or a soft 2027 preview) risks another leg down.</w:t>
      </w:r>
    </w:p>
    <w:p>
      <w:r>
        <w:pict>
          <v:rect style="width:0;height:1.5pt" o:hralign="center" o:hrstd="t" o:hr="t"/>
        </w:pic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HCA's Q2 was, mechanically, a beat — but the market correctly focused on the</w:t>
      </w:r>
      <w:r>
        <w:t xml:space="preserve"> </w:t>
      </w:r>
      <w:r>
        <w:rPr>
          <w:b/>
          <w:bCs/>
        </w:rPr>
        <w:t xml:space="preserve">quality of earnings</w:t>
      </w:r>
      <w:r>
        <w:t xml:space="preserve"> </w:t>
      </w:r>
      <w:r>
        <w:t xml:space="preserve">(government-payment windfall masking a doubling of the ACA exchange headwind) and the</w:t>
      </w:r>
      <w:r>
        <w:t xml:space="preserve"> </w:t>
      </w:r>
      <w:r>
        <w:rPr>
          <w:b/>
          <w:bCs/>
        </w:rPr>
        <w:t xml:space="preserve">forward risk</w:t>
      </w:r>
      <w:r>
        <w:t xml:space="preserve"> </w:t>
      </w:r>
      <w:r>
        <w:t xml:space="preserve">(EPTC expiration fully hitting in 2027). The fundamentals of the</w:t>
      </w:r>
      <w:r>
        <w:t xml:space="preserve"> </w:t>
      </w:r>
      <w:r>
        <w:rPr>
          <w:i/>
          <w:iCs/>
        </w:rPr>
        <w:t xml:space="preserve">business</w:t>
      </w:r>
      <w:r>
        <w:t xml:space="preserve"> </w:t>
      </w:r>
      <w:r>
        <w:t xml:space="preserve">look intact: demand is growing (admissions +2.5%, ER +3.6%), the balance sheet is strong, and management is buying back stock aggressively into weakness. The debate is entirely about</w:t>
      </w:r>
      <w:r>
        <w:t xml:space="preserve"> </w:t>
      </w:r>
      <w:r>
        <w:rPr>
          <w:b/>
          <w:bCs/>
        </w:rPr>
        <w:t xml:space="preserve">policy-driven payer mix</w:t>
      </w:r>
      <w:r>
        <w:t xml:space="preserve"> </w:t>
      </w:r>
      <w:r>
        <w:t xml:space="preserve">— how deep, how durable, and how much is already in the price. Listen for management to draw a clear line between</w:t>
      </w:r>
      <w:r>
        <w:t xml:space="preserve"> </w:t>
      </w:r>
      <w:r>
        <w:rPr>
          <w:i/>
          <w:iCs/>
        </w:rPr>
        <w:t xml:space="preserve">transitory</w:t>
      </w:r>
      <w:r>
        <w:t xml:space="preserve"> </w:t>
      </w:r>
      <w:r>
        <w:t xml:space="preserve">(one-time mix catch-ups, Medicaid timing) and</w:t>
      </w:r>
      <w:r>
        <w:t xml:space="preserve"> </w:t>
      </w:r>
      <w:r>
        <w:rPr>
          <w:i/>
          <w:iCs/>
        </w:rPr>
        <w:t xml:space="preserve">structural</w:t>
      </w:r>
      <w:r>
        <w:t xml:space="preserve"> </w:t>
      </w:r>
      <w:r>
        <w:t xml:space="preserve">(uninsured growth, subsidy expiration) headwinds. That distinction will determine whether the stock has found a bottom.</w:t>
      </w:r>
    </w:p>
    <w:p>
      <w:pPr>
        <w:pStyle w:val="BodyText"/>
      </w:pPr>
      <w:r>
        <w:rPr>
          <w:i/>
          <w:iCs/>
        </w:rPr>
        <w:t xml:space="preserve">Note: Preliminary figures are unaudited and subject to finalization; the July 24 release will confirm final numbers and provide full segment/cash-flow detail not included in the pre-announcement.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2026-07-24T00:13:30Z</dcterms:created>
  <dcterms:modified xsi:type="dcterms:W3CDTF">2026-07-24T00:13:30Z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